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553 vom 23. Juli 2015</w:t>
      </w:r>
    </w:p>
    <w:p>
      <w:r>
        <w:t>VD Tribunal cantonal, 2015-07-23, FR</w:t>
      </w:r>
    </w:p>
    <w:p>
      <w:r>
        <w:rPr>
          <w:b/>
        </w:rPr>
        <w:t xml:space="preserve">Quelle: </w:t>
      </w:r>
      <w:r>
        <w:t>https://mcp.opencaselaw.ch/entscheid/vd_findinfo_D_cision___2015___553</w:t>
      </w:r>
    </w:p>
    <w:p>
      <w:r>
        <w:t>FR: VD_FINDINFO Décision / 2015 / 553 du 23 juillet 2015</w:t>
      </w:r>
    </w:p>
    <w:p>
      <w:r>
        <w:t>IT: VD_FINDINFO Décision / 2015 / 553 del 23 luglio 2015</w:t>
      </w:r>
    </w:p>
    <w:p>
      <w:pPr>
        <w:pStyle w:val="Heading2"/>
      </w:pPr>
      <w:r>
        <w:t>Regeste</w:t>
      </w:r>
    </w:p>
    <w:p>
      <w:r>
        <w:t>EXPERTISE, COMPLÉMENT, DÉCISION D'IRRECEVABILITÉ | 189 CPP (CH), 394 let. b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 Hansjakob/Lieber [éd.], Kommentar zur Schweizerischen Strafprozessordnung, 2 e éd., Zurich/Bâle/Genève 2014, n. 16 ad art. 393 CPP;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 préjudice juridique »,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2011n. 6 ad art. 394 CPP).</w:t>
      </w:r>
    </w:p>
    <w:p>
      <w:r>
        <w:rPr>
          <w:b/>
        </w:rPr>
        <w:t>E. 1.2</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L’art. 189 CPP prévoit ainsi la possibilité de compléter ou de clarifier une expertise. Cependant cela reste une décision d’administrer ou non une preuve. Il en découle que la recevabilité du recours ne peut être admise qu’en cas de préjudice irréparable, en application de l’art. 394 let. b CPP et de la jurisprudence y afférente (cf. CREP 6 juin 2014/392 ; CREP 27 décembre 2012/807 ; CREP 21 décembre 2012/801).</w:t>
      </w:r>
    </w:p>
    <w:p>
      <w:r>
        <w:rPr>
          <w:b/>
        </w:rPr>
        <w:t>E. 1.3</w:t>
      </w:r>
    </w:p>
    <w:p>
      <w:r>
        <w:t>En l’espèce, les recourants demandent une clarification de l’expertise soutenant que le rapport complémentaire de l’expert du 22 mai 2015 (P. 44/1) contiendrait une erreur manifeste et fondamentale. Certes, l’expert paraît s’être trompé en retenant dans son rapport que la vitesse relevée au tachygraphe était de 15 km/h (P. 44/1, p. 2), alors que selon le relevé figurant au dossier elle était de 20 km/h (P. 12/2).  On peine cependant à comprendre quel serait le préjudice irréparable puisqu’il s’agit d’une demande de clarification en relation avec une expertise technique portant sur la rupture accidentelle du maillon d’une chaîne et non sur des preuves qui risqueraient de disparaître prochainement ou sur une expertise dont l’objet serait susceptible de modifications. Le refus de la Procureure d’y donner suite, en l’état de la procédure, n'est pas de nature à causer aux recourants un préjudice irréparable, étant encore précisé que l’erreur alléguée pourra, le cas échéant, être rectifiée par l’autorité de jugement.</w:t>
      </w:r>
    </w:p>
    <w:p>
      <w:r>
        <w:rPr>
          <w:b/>
        </w:rPr>
        <w:t>E. 2</w:t>
      </w:r>
    </w:p>
    <w:p>
      <w:r>
        <w:t>En définitive, le recours doit être déclaré irrecevable, sans autres échanges d’écritures (art. 390 al. 2 CPP). Les frais de la procédure, constitués en l'espèce du seul émolument d'arrêt, par 550 fr. (art. 20 al. 1 et 2 TFIP [tarif des frais de procédure et indemnités en matière pénale du 28 septembre 2010; RSV 312.03.1]), seront mis à la charge des recourants, qui succombent (art. 428 al. 1 CPP), solidairement entre eux (art. 418 al. 2 CPP). Par ces motifs, la Chambre des recours pénale prononce : I. Le recours est irrecevable. II. Les frais d’arrêt, par 550 fr. (cinq cent cinquante francs) sont mis à la charge des recourants, solidairement entre eux. III. Le présent arrêt est exécutoire. Le président :               La greffière : Du Le présent arrêt, dont la rédaction a été approuvée à huis clos, est notifié, par l'envoi d'une copie complète, à : - M. Yero Diagne, avocat (pour A.B.________, B.B.________, C.B.________ et D.B.________), - Mme Isabelle Jaques, avocate (pour U.________),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