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551 vom 23. Juli 2015</w:t>
      </w:r>
    </w:p>
    <w:p>
      <w:r>
        <w:t>VD Tribunal cantonal, 2015-07-23, FR</w:t>
      </w:r>
    </w:p>
    <w:p>
      <w:r>
        <w:rPr>
          <w:b/>
        </w:rPr>
        <w:t xml:space="preserve">Quelle: </w:t>
      </w:r>
      <w:r>
        <w:t>https://mcp.opencaselaw.ch/entscheid/vd_findinfo_D_cision___2015___551</w:t>
      </w:r>
    </w:p>
    <w:p>
      <w:r>
        <w:t>FR: VD_FINDINFO Décision / 2015 / 551 du 23 juillet 2015</w:t>
      </w:r>
    </w:p>
    <w:p>
      <w:r>
        <w:t>IT: VD_FINDINFO Décision / 2015 / 551 del 23 luglio 2015</w:t>
      </w:r>
    </w:p>
    <w:p>
      <w:pPr>
        <w:pStyle w:val="Heading2"/>
      </w:pPr>
      <w:r>
        <w:t>Regeste</w:t>
      </w:r>
    </w:p>
    <w:p>
      <w:r>
        <w:t>DÉTENTION PROVISOIRE, RISQUE DE RÉCIDIVE | 221 al. 1 let. c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étant précisé que, selon l’art. 222 CPP, le détenu peut attaquer devant l'autorité de recours les décisions ordonnant une mise en détention provisoire ou une mise en détention pour des motifs de sûreté ou encore la prolongation ou le terme de cette détention, l’exception découlant de l'art. 233 CPP n’étant pas en cause ici.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 .</w:t>
      </w:r>
    </w:p>
    <w:p>
      <w:r>
        <w:rPr>
          <w:b/>
        </w:rPr>
        <w:t>E. 2.2</w:t>
      </w:r>
    </w:p>
    <w:p>
      <w:r>
        <w:t>En l’espèce, le recourant ne conteste pas, à juste titre, l’existence de soupçons matériels suffisants de culpabilité. Il suffit, à cet égard, de renvoyer à ses aveux, particulièrement éloquents, qui étayent dans une large mesure les faits décrits par la mère de la victime (PV d’audition-plainte du 4 mai 2015), ainsi que par l’enfant elle-même (rapport d’audition LAVI du 17 juin 2015 sous P. 7). Au surplus, le juge de la détention doit se limiter à une appréciation sommaire des éléments au dossier (CREP 18 juin 2015/418 c. 2.3 in fine).</w:t>
      </w:r>
    </w:p>
    <w:p>
      <w:r>
        <w:rPr>
          <w:b/>
        </w:rPr>
        <w:t>E. 2.3</w:t>
      </w:r>
    </w:p>
    <w:p>
      <w:r>
        <w:t>ci-dessus.</w:t>
      </w:r>
    </w:p>
    <w:p>
      <w:r>
        <w:rPr>
          <w:b/>
        </w:rPr>
        <w:t>E. 2.3.1</w:t>
      </w:r>
    </w:p>
    <w:p>
      <w:r>
        <w:t>Le recourant nie présenter un risque de réitération. Lors de son audition par la Présidente du Tribunal des mesures de contrainte, il s’est limité à de vains propos selon lesquels il ne s’en prendrait plus à des enfants. Or, les antécédents du prévenu en France, pour des actes similaires, sont accablants. Le fait que ces agissements aient été contestés, contrairement à ceux ici en cause, n’y change rien, vu la condamnation prononcée. On ne saurait en outre prendre appui sur l’expertise psychiatrique déposée devant le tribunal français le 3 février 2009, laquelle relève que « (l)a réitération de tels actes est peu probable » (rapport d’expertise, p. 8). A posteriori, l’optimisme de l’experte a en effet été infirmé par les faits que le recourant a admis dans le cadre de la présente instruction. Certes, le prévenu a fait part de son intention de se soumettre à un traitement dans son pays. Ce traitement semble par ailleurs avoir débuté, mais seules trois consultations, effectuées auprès d’un psychiatre lyonnais en date des 10, 18 et 30 juin 2015, sont établies (P. 9/1 à 3). Même si l’on peut considérer que les soins ont, de fait, été interrompus par l’interpellation du prévenu, trois consultations en l’espace d’un mois ne sauraient à l’évidence suffire à pallier des pulsions pédophiles apparemment présentes depuis plusieurs années, tant il est notoire qu’une psychothérapie ne peut, en tel cas, produire d’effet qu’à relativement long terme. Le pronostic à poser est dès lors clairement défavorable en l’état. Il s’agit donc d’un délinquant qui présente à l’évidence un risque de réitération concret au sens de la loi, s’agissant de crimes ou délits graves. Bien plutôt, il faut attendre les premiers résultats de l’expertise envisagée par le Procureur (P. 11).</w:t>
      </w:r>
    </w:p>
    <w:p>
      <w:r>
        <w:rPr>
          <w:b/>
        </w:rPr>
        <w:t>E. 2.3.2</w:t>
      </w:r>
    </w:p>
    <w:p>
      <w:r>
        <w:t>C’est à bon droit que le premier juge a notamment renoncé à examiner le risque de fuite, expressément contesté par la défense, motif pris de ce que les conditions légales de la détention provisoire étaient alternatives, et non cumulatives (TF 1B_249/2011 du 7 juin 2011 c. 2.4). Sous cet angle, il peut néanmoins être relevé que le prévenu n’a guère d’attaches en Suisse, n’étant que de passage dans notre pays (cf. PV 3, p. 1). Il pourra donc être tenté de se soustraire à la justice en regagnant la France au bénéfice de la non-extradition des nationaux. Le fait qu’il ait jusqu’à présent obtempéré aux autorités vaudoises n’y change rien.</w:t>
      </w:r>
    </w:p>
    <w:p>
      <w:r>
        <w:rPr>
          <w:b/>
        </w:rPr>
        <w:t>E. 2.4</w:t>
      </w:r>
    </w:p>
    <w:p>
      <w:r>
        <w:t>Le recourant fait en outre valoir qu’une mesure de substitution, à savoir l’obligation de se soumettre à un traitement médical ou à des contrôles (art. 237 al. 2 let. f CPP), préviendrait le danger de réitération. Au vu du risque retenu, le traitement entrepris en France à raison de trois séances en un mois ne saurait pallier efficacement ce péril, donc se substituer à la détention provisoire, sans qu’il ne soit même besoin de mentionner la gravité présumable et le caractère récurrent des actes incriminés. Il convient à cet égard de renvoyer au considérant</w:t>
      </w:r>
    </w:p>
    <w:p>
      <w:r>
        <w:rPr>
          <w:b/>
        </w:rPr>
        <w:t>E. 2.5</w:t>
      </w:r>
    </w:p>
    <w:p>
      <w:r>
        <w:t>Enfin, sous l’angle de la proportionnalité (art. 212 al. 3 CPP) entre la détention provisoire déjà subie, respectivement à subir jusqu’au 8 octobre 2015, et la quotité de la peine privative de liberté susceptible d’être prononcée, il y a lieu de relever que l’enquête n’en est qu’à ses débuts et que les faits d’ores et déjà avoués sont susceptibles d’entraîner une lourde peine, abstraction faite même d’éventuels éléments additionnels qui concerneraient tant l’enfant [...] que d’autres éventuelles victimes. Le principe de la proportionnalité demeure donc respecté (ATF 133 I 168 c. 4.1 et les arrêts cités; ATF 132 I 21 c. 4.1; TF 1B_411/2011 du 31 août 2011 c. 4.1).</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10 juillet 2015 est confirmée. III. L’indemnité allouée au défenseur d'office de F.________ est fixée à 583 fr. 20 (cinq cent huitante-trois francs et vingt centimes). IV. Les frais du présent arrêt, par 770 fr. (sept cent septante francs), ainsi que l’indemnité due au défenseur d’office de F.________, par 583 fr. 20 (cinq cent huitante-trois francs et vingt centimes), sont mis à la charge de ce dernier. V. Le remboursement à l'Etat de l'indemnité allouée au chiffre III ci-dessus ne sera exigible que pour autant que la situation économique de F.________ se soit améliorée. VI. Le présent arrêt est exécutoire. Le président :              Le greffier : Du Le présent arrêt, dont la rédaction a été approuvée à huis clos, est notifié, par l'envoi d'une copie complète, à : - M. Franck-Olivier Karlen, avocat (pour F.________), - Ministère public central, et communiqué à : - Mme la Présidente du Tribunal des mesures de contrainte, - M. le Procureur du Ministère public de l’arrondissement de l’Est vaudois, - Mme Coralie Germond,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