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548 vom 20. Juli 2015</w:t>
      </w:r>
    </w:p>
    <w:p>
      <w:r>
        <w:t>VD Tribunal cantonal, 2015-07-20, FR</w:t>
      </w:r>
    </w:p>
    <w:p>
      <w:r>
        <w:rPr>
          <w:b/>
        </w:rPr>
        <w:t xml:space="preserve">Quelle: </w:t>
      </w:r>
      <w:r>
        <w:t>https://mcp.opencaselaw.ch/entscheid/vd_findinfo_D_cision___2015___548</w:t>
      </w:r>
    </w:p>
    <w:p>
      <w:r>
        <w:t>FR: VD_FINDINFO Décision / 2015 / 548 du 20 juillet 2015</w:t>
      </w:r>
    </w:p>
    <w:p>
      <w:r>
        <w:t>IT: VD_FINDINFO Décision / 2015 / 548 del 20 luglio 2015</w:t>
      </w:r>
    </w:p>
    <w:p>
      <w:pPr>
        <w:pStyle w:val="Heading2"/>
      </w:pPr>
      <w:r>
        <w:t>Regeste</w:t>
      </w:r>
    </w:p>
    <w:p>
      <w:r>
        <w:t>DÉCISION SUR FRAIS, PLAIGNANT | 427 al. 2 CPP (CH), 432 CPP (CH)</w:t>
      </w:r>
    </w:p>
    <w:p>
      <w:pPr>
        <w:pStyle w:val="Heading2"/>
      </w:pPr>
      <w:r>
        <w:t>Erwägungen</w:t>
      </w:r>
    </w:p>
    <w:p>
      <w:r>
        <w:rPr>
          <w:b/>
        </w:rPr>
        <w:t>E. 1.1</w:t>
      </w:r>
    </w:p>
    <w:p>
      <w:r>
        <w:t>Interjeté dans le délai légal (art. 322 al. 2 et 396 al. 1 CPP), contre une ordonnance de classement rendue par le Ministère public (art. 393 al. 1 let. a CPP) en application des art. 319 ss CPP, par la partie plaignante qui a qualité pour recourir (art. 382 al. 1 CPP) et dans les formes prescrites (art. 385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la recourante ne conteste pas le classement en lui-même, mais uniquement la mise à sa charge d’une partie des frais de procédure, par 2'554 fr. 75. La valeur litigieuse place donc le recours dans la compétence d’un juge unique de la Chambre des recours pénale (art. 395 let. b CPP; Juge unique CREP 19 mars 2015/201).</w:t>
      </w:r>
    </w:p>
    <w:p>
      <w:r>
        <w:rPr>
          <w:b/>
        </w:rPr>
        <w:t>E. 2.1</w:t>
      </w:r>
    </w:p>
    <w:p>
      <w:r>
        <w:t>Le sort des frais de la procédure à l'issue de celle-ci est régi par les art. 422 ss CPP. En principe, ces frais sont mis à la charge de la Confédération ou du canton qui a conduit la procédure, les dispositions contraires du CPP étant réservées (art. 423 al. 1 CPP).</w:t>
      </w:r>
    </w:p>
    <w:p>
      <w:r>
        <w:rPr>
          <w:b/>
        </w:rPr>
        <w:t>E. 2.1.1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 4.2.1, JT 2013 IV 191 ; TF 6B_438/2013 du 18 juillet 2013 c. 2.1). Contrairement à la version française, les versions allemande et italienne opèrent en effet une distinction entre la partie plaignante ( Privatklägerschaft ; accusatore privato ) et le plaignant ( antragstellende Person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 4.2.2, JT 2013 IV 191 ; TF 6B_438/2013 du 18 juillet 2013 c.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 4.2.3, JT 2013 IV 191 ; TF 6B_438/2013 du 18 juillet 2013 c.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 4.4.1, JT 2013 IV 191 ; TF 6B_438/2013 précité c. 2.1).</w:t>
      </w:r>
    </w:p>
    <w:p>
      <w:r>
        <w:rPr>
          <w:b/>
        </w:rPr>
        <w:t>E. 2.1.2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 5.3). La jurisprudence résumée ci-dessus est donc applicable par analogie (TF 6B_438/2013 précité c. 3.1).</w:t>
      </w:r>
    </w:p>
    <w:p>
      <w:r>
        <w:rPr>
          <w:b/>
        </w:rPr>
        <w:t>E. 2.2.1</w:t>
      </w:r>
    </w:p>
    <w:p>
      <w:r>
        <w:t>En l’espèce, l’enquête qui a abouti au classement de la procédure pénale en faveur du prévenu était ouverte pour deux infractions se poursuivant sur plainte (dommages à la propriété et violation de domicile). Dès lors, compte tenu de la jurisprudence qui vient d’être exposée, les frais pouvaient être mis à la charge de la recourante, laquelle succombe, sans autre condition, en application de l’art. 427 al. 2 CPP, T.________ s’étant en effet constituée partie plaignante et ayant très activement pris part à la procédure. A cet égard, on relèvera que la prénommée a déposé plainte contre A.________ le 8 mai 2014 (PV aud. 1). Elle a par la suite expressément maintenu sa plainte à plusieurs reprises (P. 9 ; PV aud. 4 et 5) et a pris des conclusions civiles à hauteur de 3'000 fr. (PV aud. 4, lignes 67 à 69). Elle a par ailleurs consulté avocat (P. 10) et a adressé plusieurs correspondances personnellement au Procureur (P. 20 et 25). Dès lors que l’intéressée a, comme on l’a vu, participé très activement à la procédure, il se justifiait en réalité de mettre l’intégralité des frais à sa charge, la question relative à la témérité ou à la négligence grave n’étant ainsi pas décisive. Le moyen tiré d’une violation de l’art. 427 CPP est donc mal fondé et doit être rejeté.</w:t>
      </w:r>
    </w:p>
    <w:p>
      <w:r>
        <w:rPr>
          <w:b/>
        </w:rPr>
        <w:t>E. 2.2.2</w:t>
      </w:r>
    </w:p>
    <w:p>
      <w:r>
        <w:t>S’agissant de la mise à sa charge de la moitié de l'indemnité allouée au prévenu libéré, la recourante ne formule pas de critiques différentes de celles qu'elle soulève à l'appui de son grief relatif à l'application de l'art. 427 CPP. Par conséquent, il peut être renvoyé à la motivation exposée ci-avant (cf. c. 2.2.1 supra ), dès lors que les principes applicables dans le cadre de l’art. 432 al. 2 CPP sont les mêmes (cf. c. 2.1.2 supra ). Pour ces mêmes raisons, la recourant aurait dû supporter l’intégralité de l’indemnité allouée au prévenu, et pas seulement la moitié ni uniquement la part liée à l’examen des conclusions civiles. En principe, cette indemnité aurait dû être mise directement à sa charge, et non pas d’abord à la charge de l’Etat, comme le Procureur l’a estimé. Cela n’a toutefois en l’espèce aucune conséquence pour la recourante.</w:t>
      </w:r>
    </w:p>
    <w:p>
      <w:r>
        <w:rPr>
          <w:b/>
        </w:rPr>
        <w:t>E. 3</w:t>
      </w:r>
    </w:p>
    <w:p>
      <w:r>
        <w:t>Il résulte de ce qui précède que le recours doit être rejeté, sans autres échanges d’écritures (art. 390 al. 2 CPP), et l’ordonnance de classement du 26 mai 2015 confirmée. Les frais de la procédure de recours, constitués du seul émolument d’arrêt, par 630 fr. (art. 20 al. 1 TFIP [tarif des frais de procédure et indemnités en matière pénale du 28 septembre 2010 ; RSV 312.03.1]), seront mis à la charge de la recourante, qui succombe (art. 428 al. 1 CPP). Par ces motifs, le juge unique prononce : I. Le recours est rejeté. II. L’ordonnance du 26 mai 2015 est confirmée. III. Les frais d’arrêt, par 630 fr. (six cent trente francs), sont mis à la charge de T.________. IV. Le présent arrêt est exécutoire. Le juge unique :               Le greffier : Du Le présent arrêt, dont la rédaction a été approuvée à huis clos, est notifié, par l'envoi d'une copie complète, à : - M. Charles Munoz, avocat (pour T.________), - M. Benoît Sansonnens, avocat (pour A.________), - Ministère public central, et communiqué à : ‑ M. le Procureur de l’arrondissement du Nord vauois,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