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545 vom 4. Mai 2015</w:t>
      </w:r>
    </w:p>
    <w:p>
      <w:r>
        <w:t>VD Tribunal cantonal, 2015-05-04, FR</w:t>
      </w:r>
    </w:p>
    <w:p>
      <w:r>
        <w:rPr>
          <w:b/>
        </w:rPr>
        <w:t xml:space="preserve">Quelle: </w:t>
      </w:r>
      <w:r>
        <w:t>https://mcp.opencaselaw.ch/entscheid/vd_findinfo_D_cision___2015___545</w:t>
      </w:r>
    </w:p>
    <w:p>
      <w:r>
        <w:t>FR: VD_FINDINFO Décision / 2015 / 545 du 4 mai 2015</w:t>
      </w:r>
    </w:p>
    <w:p>
      <w:r>
        <w:t>IT: VD_FINDINFO Décision / 2015 / 545 del 4 maggio 2015</w:t>
      </w:r>
    </w:p>
    <w:p>
      <w:pPr>
        <w:pStyle w:val="Heading2"/>
      </w:pPr>
      <w:r>
        <w:t>Regeste</w:t>
      </w:r>
    </w:p>
    <w:p>
      <w:r>
        <w:t>JONCTION DE CAUSES | 29 CPP (CH), 30 CPP (CH)</w:t>
      </w:r>
    </w:p>
    <w:p>
      <w:pPr>
        <w:pStyle w:val="Heading2"/>
      </w:pPr>
      <w:r>
        <w:t>Erwägungen</w:t>
      </w:r>
    </w:p>
    <w:p>
      <w:r>
        <w:rPr>
          <w:b/>
        </w:rPr>
        <w:t>E. 1</w:t>
      </w:r>
    </w:p>
    <w:p>
      <w:r>
        <w:t>Une ordonnance par laquelle le Ministère public ordonne la jonction ou la disjonction de procédures pénales (art. 30 CPP [Code de procédure pénale suisse du 5 octobre 2007; RS 312.0]) est susceptible d’un recours immédiat au sens des art. 393 ss CPP (Stephenson/Thiriet, in : Niggli/Heer/Wiprächtiger [éd.], Basler Kommentar, Schweizerische Strafprozessordnung, Jugendstrafprozessordnung, 2 e éd., Bâle 2014, n. 10 ad art. 393 CPP; CREP 30 janvier 2015/74 ; CREP 25 mai 2012/305; CREP 10 avril 2012/225). Elle peut être attaquée dans les dix jours devant l’autorité de recours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En l'espèce, interjeté dans le délai légal auprès de l’autorité compétente par une partie qui a qualité pour recourir (cf. art. 382 al. 1 CPP) et satisfaisant aux conditions de forme posées par l’art. 385 al. 1 CPP, le recours est recevable.</w:t>
      </w:r>
    </w:p>
    <w:p>
      <w:r>
        <w:rPr>
          <w:b/>
        </w:rPr>
        <w:t>E. 2</w:t>
      </w:r>
    </w:p>
    <w:p>
      <w:r>
        <w:t>La recourante soutient que les deux enquêtes instruites à son encontre n’auraient aucun lien de connexité et devraient être disjointes. Elle fait valoir notamment que les infractions seraient différentes et que la jonction de ces affaires retarderait le traitement de la cause PE12.005188-FHA en violation du principe de la célérité.</w:t>
      </w:r>
    </w:p>
    <w:p>
      <w:r>
        <w:rPr>
          <w:b/>
        </w:rPr>
        <w:t>E. 2.1</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La disjonction doit constituer l'exception et l'unité de la procédure la règle, dans un but d'économie de procédure, mais aussi dans celui de prévenir des décisions contraires (ATF 138 IV 214 c. 3.2; Moreillon/Parein-Reymond, Petit Commentaire du Code de procédure pénale, Bâle 2013, n. 2 ad art. 30 CPP). Le Ministère public est ainsi tenu de joindre des procédures à l’encontre du même prévenu quand bien même la nature des infractions est fort différente (ATF 138 IV 214 c. 3.2 ; Moreillon/Parein-Reymond, op. cit., n. 5 ad art. 29 CPP). La jonction sert par ailleurs les intérêts du prévenu, dès lors qu’elle permet d’éviter une multitude de jugements, le prononcé d’une peine complémentaire ainsi que des frais supplémentaires (Moreillon/Parein-Reymond, op. cit., n. 3 ad art. 29 CPP). La disjonction doit être fondée sur des motifs concrets et objectifs. Elle doit avant tout servir à garantir la rapidité de la procédure, respectivement à éviter un retard inutile. A titre d’exemple, la doctrine cite notamment la prescription imminente de certaines des infractions poursuivies. En revanche, de simples motifs de commodité ne sauraient justifier une disjonction (ATF 138 IV 214 c. 3.2 et les références citées ; Bertossa, in : Kuhn/Jeanneret [éd.], Commentaire romand, Code de procédure pénale suisse, Bâle 2011, n. 2 ad art. 30 CPP ; CREP 30 janvier 2015/74).</w:t>
      </w:r>
    </w:p>
    <w:p>
      <w:r>
        <w:rPr>
          <w:b/>
        </w:rPr>
        <w:t>E. 2.2</w:t>
      </w:r>
    </w:p>
    <w:p>
      <w:r>
        <w:t>En l’espèce, en regard des principes énoncés ci-dessus, la décision du procureur apparaît justifiée, aucun motif susceptible de justifier une instruction séparée ne ressortant du dossier. Certes, il est probable que la jonction ordonnée entraîne un retard dans le traitement de la cause PE12.005188-FHA. Toutefois, à la lecture du procès-verbal des opérations de ce dossier, il apparaît que cette enquête a été conduite avec diligence et sans temps mort inacceptable, de sorte que la jonction des causes ne saurait à ce stade entraîner une violation du principe de la célérité.</w:t>
      </w:r>
    </w:p>
    <w:p>
      <w:r>
        <w:rPr>
          <w:b/>
        </w:rPr>
        <w:t>E. 3</w:t>
      </w:r>
    </w:p>
    <w:p>
      <w:r>
        <w:t>En définitive, le recours doit être rejeté sans autre échange d’écritures (art. 390 al. 2 CPP) et l’ordonnance attaquée confirmée. L’indemnité due au défenseur d’office de la recourante sera fixée à 450 fr., plus la TVA, par 36 fr., ce qui porte le montant alloué à 486 francs. Les frais de la procédure de recours, constitués en l’espèce de l’émolument d'arrêt (art. 422 al. 1 CPP), par 550 fr. (art. 20 al. 1 TFIP [Tarif des frais de procédure et indemnités en matière pénale du 28 septembre 2010; RSV 312.03.1]), et des frais imputables à la défense d'office (art. 422 al. 1 et 2 let. a CPP), par 486 fr., seront mis à la charge de la recourante,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prononce : I. Le recours est rejeté. II. L’ordonnance du 16 avril 2015 est confirmée. III. L'indemnité allouée au défenseur d'office d’M.________ est fixée à 486 fr. (quatre cent huitante-six francs). IV. Les frais d’arrêt, par 550 fr. (cinq cent cinquante francs), ainsi que l'indemnité due au défenseur d'office d’M.________, par 486 fr. (quatre cent huitante-six francs), sont mis à la charge de cette dernière. V. Le remboursement à l'Etat de l'indemnité allouée au chiffre III ci-dessus sera exigible pour autant que la situation d’M.________ se soit améliorée. VI. Le présent arrêt est exécutoire. Le président :               La greffière : Du Le présent arrêt, dont la rédaction a été approuvée à huis clos, est notifié, par l'envoi d'une copie complète, à : - Mme Michèle Meylan, avocate (pour M.________),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