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543 vom 16. Juli 2015</w:t>
      </w:r>
    </w:p>
    <w:p>
      <w:r>
        <w:t>VD Tribunal cantonal, 2015-07-16, FR</w:t>
      </w:r>
    </w:p>
    <w:p>
      <w:r>
        <w:rPr>
          <w:b/>
        </w:rPr>
        <w:t xml:space="preserve">Quelle: </w:t>
      </w:r>
      <w:r>
        <w:t>https://mcp.opencaselaw.ch/entscheid/vd_findinfo_D_cision___2015___543</w:t>
      </w:r>
    </w:p>
    <w:p>
      <w:r>
        <w:t>FR: VD_FINDINFO Décision / 2015 / 543 du 16 juillet 2015</w:t>
      </w:r>
    </w:p>
    <w:p>
      <w:r>
        <w:t>IT: VD_FINDINFO Décision / 2015 / 543 del 16 luglio 2015</w:t>
      </w:r>
    </w:p>
    <w:p>
      <w:pPr>
        <w:pStyle w:val="Heading2"/>
      </w:pPr>
      <w:r>
        <w:t>Regeste</w:t>
      </w:r>
    </w:p>
    <w:p>
      <w:r>
        <w:t>DÉCISION D'IRRECEVABILITÉ, DÉLAI DE RECOURS | 396 al. 1 CPP (CH)</w:t>
      </w:r>
    </w:p>
    <w:p>
      <w:pPr>
        <w:pStyle w:val="Heading2"/>
      </w:pPr>
      <w:r>
        <w:t>Erwägungen</w:t>
      </w:r>
    </w:p>
    <w:p>
      <w:r>
        <w:rPr>
          <w:b/>
        </w:rPr>
        <w:t>E. 1</w:t>
      </w:r>
    </w:p>
    <w:p>
      <w:r>
        <w:t>Le prononcé par lequel un tribunal de première instance statue sur la validité de l'opposition formée par le prévenu contre une ordonnance pénale rendue par une autorité administrative instituée en vue de la poursuite et du jugement des contravention (cf. l’art. 356 al. 2 CPP [Code de procédure pénale suisse du 5 octobre 2007 ; RS 312] par renvoi de l’art. 357 al. 2 CPP),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w:t>
      </w:r>
    </w:p>
    <w:p>
      <w:r>
        <w:rPr>
          <w:b/>
        </w:rPr>
        <w:t>E. 2</w:t>
      </w:r>
    </w:p>
    <w:p>
      <w:r>
        <w:t>L'art. 395 let. a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 RSV 312.01] ; Juge unique CREP 27 novembre 2013/815 ; Juge unique CREP 27 juin 2012/595).</w:t>
      </w:r>
    </w:p>
    <w:p>
      <w:r>
        <w:rPr>
          <w:b/>
        </w:rPr>
        <w:t>E. 3.1</w:t>
      </w:r>
    </w:p>
    <w:p>
      <w:r>
        <w:t>Le recours contre les décisions notifiées par écrit ou oralement est motivé et adressé par écrit, dans le délai de dix jours, à l'autorité de recours (art. 396 al. 1 CPP). Selon l'art. 90 al. 1 CPP, les délais fixés en jours commencent à courir le jour qui suit leur notification ou l'événement qui les déclenche. Si le dernier jour du délai est un samedi, un dimanche ou un jour férié selon le droit fédéral ou cantonal, le délai expire le premier jour ouvrable qui suit (art. 90 al. 2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w:t>
      </w:r>
    </w:p>
    <w:p>
      <w:r>
        <w:rPr>
          <w:b/>
        </w:rPr>
        <w:t>E. 3.2</w:t>
      </w:r>
    </w:p>
    <w:p>
      <w:r>
        <w:t>En l’espèce, le prononcé attaqué a été adressé au recourant par pli recommandé du mercredi 24 juin 2015. Il a été distribué le vendredi 26 juin 2015 (P. 7). Le délai de recours de dix jours (art. 396 al. 1 CPP) est ainsi arrivé à échéance le lundi 6 juillet 2015. Le recours, transmis par porteur au greffe du Tribunal de première instance le 13 juillet 2015, est dès lors tardif.</w:t>
      </w:r>
    </w:p>
    <w:p>
      <w:r>
        <w:rPr>
          <w:b/>
        </w:rPr>
        <w:t>E. 4</w:t>
      </w:r>
    </w:p>
    <w:p>
      <w:r>
        <w:t>Il résulte de ce qui précède que le recours doit être déclaré irrecevable, sans autre échange d’écritures (art. 390 al. 2 CPP). Les frais de la procédure de recours, constitués en l'espèce du seul émolument d'arrêt (art. 422 al. 1 CPP), par 360 fr. (art. 20 al. 1 TFIP [tarif des frais de procédure et indemnités en matière pénale du 28 septembre 2010 ; RSV 312.03.1]), seront laissés, à titre exceptionnel, à la charge de l’Etat (art. 423 al. 1 CPP). Par ces motifs, le juge unique prononce : I. Le recours est irrecevable. II. Les frais d’arrêt, par 360 fr. (trois cent soixante francs), sont laissés à la charge de l’Etat. III. Le présent arrêt est exécutoire. Le juge unique :               La greffière : Du Le présent arrêt, dont la rédaction a été approuvée à huis clos, est notifié, par l'envoi d'une copie complète, à : - M. W.________, - Ministère public central, et communiqué à : ‑ M. le Président du Tribunal de l’arrondissement de Lausanne, - Commission de police de l’Association de communes « Sécurité dans l’Ouest lausannois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