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541 vom 15. Juli 2015</w:t>
      </w:r>
    </w:p>
    <w:p>
      <w:r>
        <w:t>VD Tribunal cantonal, 2015-07-15, FR</w:t>
      </w:r>
    </w:p>
    <w:p>
      <w:r>
        <w:rPr>
          <w:b/>
        </w:rPr>
        <w:t xml:space="preserve">Quelle: </w:t>
      </w:r>
      <w:r>
        <w:t>https://mcp.opencaselaw.ch/entscheid/vd_findinfo_D_cision___2015___541</w:t>
      </w:r>
    </w:p>
    <w:p>
      <w:r>
        <w:t>FR: VD_FINDINFO Décision / 2015 / 541 du 15 juillet 2015</w:t>
      </w:r>
    </w:p>
    <w:p>
      <w:r>
        <w:t>IT: VD_FINDINFO Décision / 2015 / 541 del 15 luglio 2015</w:t>
      </w:r>
    </w:p>
    <w:p>
      <w:pPr>
        <w:pStyle w:val="Heading2"/>
      </w:pPr>
      <w:r>
        <w:t>Regeste</w:t>
      </w:r>
    </w:p>
    <w:p>
      <w:r>
        <w:t>DÉCISION DE RENVOI, EXPERTISE PSYCHIATRIQUE, MESURE THÉRAPEUTIQUE INSTITUTIONNELLE, ACTE D'ORDRE SEXUEL AVEC UN ENFANT, DÉTENTION POUR DES MOTIFS DE SÛRETÉ, RISQUE DE RÉCIDIVE | 59 CP, 221 al. 1 let. c CPP (CH), 229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w:t>
      </w:r>
    </w:p>
    <w:p>
      <w:r>
        <w:rPr>
          <w:b/>
        </w:rPr>
        <w:t>E. 2</w:t>
      </w:r>
    </w:p>
    <w:p>
      <w:r>
        <w:t>Dans son arrêt du 22 juin 2015, le Tribunal fédéral a considéré que la cours de céans ne pouvait s’écarter de l’expertise au dossier sans en ordonner une nouvelle. Il découle du motif retenu par cet arrêt que le jugement entrepris, rendu le 12 novembre 2014 par le Tribunal correctionnel de l’arrondissement de La Côte, doit être annulé et le dossier retourné aux premiers juges pour qu’ils mettent en œuvre l’expertise voulue par le Tribunal fédéral, dès lors que le condamné ne saurait être privé de la première instance cantonale.</w:t>
      </w:r>
    </w:p>
    <w:p>
      <w:r>
        <w:rPr>
          <w:b/>
        </w:rPr>
        <w:t>E. 3.1</w:t>
      </w:r>
    </w:p>
    <w:p>
      <w:r>
        <w:t>Selon la jurisprudence, la condamné qui a purgé sa peine peut être maintenu en détention pour des motifs de sûreté durant la procédure de changement de sanction si le prononcé d’une mesure thérapeutique institutionnelle est vraisemblable et qu’un motif de détention particulier existe (ATF 137 IV 133, JT 2012 IV 286).</w:t>
      </w:r>
    </w:p>
    <w:p>
      <w:r>
        <w:rPr>
          <w:b/>
        </w:rPr>
        <w:t>E. 3.2</w:t>
      </w:r>
    </w:p>
    <w:p>
      <w:r>
        <w:t>En l’espèce, le recourant a terminé l’exécution de sa peine privative de liberté le 28 décembre 2014 (cf. la proposition de plan d’exécution de la sanction avalisé le 18 juin 2013). Il a depuis lors été valablement maintenu en détention sur la base du jugement rendu le 12 novembre 2014 par le Tribunal correctionnel de l’arrondissement de La Côte. L’annulation de ce jugement va toutefois entraîner la suppression de ce titre de détention. Il appartiendra dès lors à la direction de la procédure du Tribunal correctionnel de l’arrondissement de La Côte de demander sans retard au Tribunal des mesures de contrainte d’ordonner la détention pour des motifs de sûreté (CREP 20 février 2014/144 c. 2c).</w:t>
      </w:r>
    </w:p>
    <w:p>
      <w:r>
        <w:rPr>
          <w:b/>
        </w:rPr>
        <w:t>E. 3.3</w:t>
      </w:r>
    </w:p>
    <w:p>
      <w:r>
        <w:t>Cela étant, la cour estime que le prononcé d’une mesure thérapeutique institutionnelle reste vraisemblable. Elle relève par ailleurs que, dans le cas particulier, il s’agit d’un auteur dont la dangerosité est avérée à dires d’expert. Ainsi, la Dresse [...] a, dans son rapport du 23 juin 2014, indiqué que la sexualité de l’intéressé était tellement peu mature qu’il y avait un risque de passage à l’acte tant par rapport à des enfants que par rapport à des animaux. Elle a ajouté que l’expertisé souffrait d’une grave déviance sexuelle et que les actes commis par le passé sur les enfants étaient en relation avec ce trouble. A l’audience de première instance, le 11 novembre 2014, elle a admis que le condamné constituait un danger pour la société. Qui plus est, le condamné a tenu des propos alarmants à cette audience. Il a en effet à nouveau fortement minimisé la gravité des actes perpétrés, expliquant notamment qu’il n’avait pas forcé ses victimes et qu’il ne s’agissait pas de viol car elles ne s’étaient pas défendues. Il a dit comprendre que les enfants ne pouvaient pas se défendre ou qu’ils n’osaient pas le faire et a donc reconnu que cela pouvait être un « petit viol ». Ces propos établissent un manque quasi-total d’introspection, d’amendement et d’empathie. On peut dès lors conclure à l’existence d’un risque de réitération concret en matière d’infractions contre l’intégrité sexuelle, singulièrement au préjudice d’enfants. Le condamné est donc susceptible de compromettre sérieusement la sécurité d'autrui par des crimes ou des délits graves après avoir déjà commis des infractions du même genre. Il se justifie dès lors de maintenir le recourant en détention en application des art. 229 et 221 al. 1 let. c CPP (Code de procédure pénale suisse du 5 octobre 2007; RS 312.0), par analogie, jusqu’à ce que le Tribunal des mesures de contrainte ait statué sur la demande de mise en détention pour des motifs de sûreté que lui adressera la direction de la procédure de l’autorité de première instance (cf. c. 3.2 supra; CREP 20 février 2014/144).</w:t>
      </w:r>
    </w:p>
    <w:p>
      <w:r>
        <w:rPr>
          <w:b/>
        </w:rPr>
        <w:t>E. 4</w:t>
      </w:r>
    </w:p>
    <w:p>
      <w:r>
        <w:t>Il résulte de ce qui précède que le recours doit être admis. Le jugement rendu le 12 novembre 2014 par le Tribunal correctionnel de l’arrondissement de La Côte doit être annulé et le dossier de la cause retourné à cette autorité pour qu’elle procède dans le sens des considérants. Le recourant sera maintenu en détention pour des motifs de sûreté jusqu’à ce que le Tribunal des mesures de contrainte ait statué sur la demande de mise en détention pour des motifs de sûreté que lui adressera la direction de la procédure du Tribunal correctionnel de l’arrondissement de La Côte. Le recourant obtenant gain de cause, les frais de la procédure de recours, constitués en l’espèce de l’émolument d’arrêt, par 1’210 fr. (art. 20 al. 1 TFIP [tarif des frais de procédure et indemnités en matière pénale; RSV 312.03.1]), et des frais liés à la défense d’office (art. 422 al. 1 et 2 let. a CPP), fixés à 900 fr., plus la TVA, par 72 fr., soit un total de 972 fr., pour l’ensemble des opérations effectuées depuis le dépôt du recours du 18 décembre 2014, seront laissés à la charge de l'Etat (art. 423 al. 1 CPP ). A cet égard, la très brève détermination déposée le 14 juillet 2015 ne commande pas d’augmenter l’indemnité par rapport à celle qui avait été allouée par le jugement du 5 janvier 2015. Par ces motifs, la Chambre des recours pénale prononce : I. Le recours est admis. II. Le jugement rendu le 12 novembre 2014 par le Tribunal correctionnel de l’arrondissement de La Côte est annulé et le dossier de la cause retourné à cette autorité pour qu’elle procède dans le sens des considérants. III. D.________ est maintenu en détention jusqu’à ce que le Tribunal des mesures de contrainte ait statué sur la demande de mise en détention pour des motifs de sûreté. IV. L’indemnité allouée au défenseur d’office de D.________ est fixée à 972 fr. (neuf cent septante-deux francs). V. Les frais d’arrêt, par 1’100 fr. (mille cent francs), ainsi que l’indemnité due au défenseur d’office de D.________, par 972 fr. (neuf cent septante-deux francs), sont laissés à la charge de l'Etat. VI. Le présent arrêt est exécutoire. Le vice-président : Le greffier : Du Le présent arrêt, dont la rédaction a été approuvée à huis clos, est notifié, par l'envoi d'une copie complète, à : - M. Charles-Henri de Luze, avocat (pour D.________), - Ministère public central, et communiqué à : ‑ Mme la Présidente du Tribunal correctionnel de l’arrondissement de La Côte, - M. le Procureur de l’arrondissement de Lausanne,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