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540 vom 8. Juli 2015</w:t>
      </w:r>
    </w:p>
    <w:p>
      <w:r>
        <w:t>VD Tribunal cantonal, 2015-07-08, FR</w:t>
      </w:r>
    </w:p>
    <w:p>
      <w:r>
        <w:rPr>
          <w:b/>
        </w:rPr>
        <w:t xml:space="preserve">Quelle: </w:t>
      </w:r>
      <w:r>
        <w:t>https://mcp.opencaselaw.ch/entscheid/vd_findinfo_D_cision___2015___540</w:t>
      </w:r>
    </w:p>
    <w:p>
      <w:r>
        <w:t>FR: VD_FINDINFO Décision / 2015 / 540 du 8 juillet 2015</w:t>
      </w:r>
    </w:p>
    <w:p>
      <w:r>
        <w:t>IT: VD_FINDINFO Décision / 2015 / 540 del 8 luglio 2015</w:t>
      </w:r>
    </w:p>
    <w:p>
      <w:pPr>
        <w:pStyle w:val="Heading2"/>
      </w:pPr>
      <w:r>
        <w:t>Regeste</w:t>
      </w:r>
    </w:p>
    <w:p>
      <w:r>
        <w:t>ASSISTANCE JUDICIAIRE, INDEMNITÉ ÉQUITABLE | 429 al. 1 let. a CPP (CH)</w:t>
      </w:r>
    </w:p>
    <w:p>
      <w:pPr>
        <w:pStyle w:val="Heading2"/>
      </w:pPr>
      <w:r>
        <w:t>Erwägungen</w:t>
      </w:r>
    </w:p>
    <w:p>
      <w:r>
        <w:rPr>
          <w:b/>
        </w:rPr>
        <w:t>E. 1</w:t>
      </w:r>
    </w:p>
    <w:p>
      <w:r>
        <w:t>L’indemnité due au défenseur d’office du prévenu (cf. art. 132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140 IV 213 c. 1.7; ATF 139 IV 199 c. 5.2).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vaudoise du 19 mai 2009 d’introduction du code de procédure pénale suisse; RSV 312.01]; art. 80 LOJV [loi vaudoise du 12 décembre 1979 d’organisation judiciaire; RSV 173.01]).</w:t>
      </w:r>
    </w:p>
    <w:p>
      <w:r>
        <w:rPr>
          <w:b/>
        </w:rPr>
        <w:t>E. 1.2</w:t>
      </w:r>
    </w:p>
    <w:p>
      <w:r>
        <w:t>En l’espèce, l’acte déposé par le recourant tend d’une part, à la modification du montant de l’indemnité qui lui a été allouée en sa qualité de défenseur d’office, et d’autre part, à la modification du chiffre VI du dispositif du jugement de première instance, relatif au refus d’allouer au prévenu une indemnité au sens de l’art. 429 CPP. Or, seul le montant de l’indemnité peut faire l’objet d’un recours (art. 135 al. 3 CPP), la question de l’indemnité au sens de l’art. 429 CPP ne pouvant être revue que dans le cadre d’un appel (art. 398 al. 1 CPP). Le recourant n’a toutefois déposé qu’un seul acte, qu’il a intitulé « recours » et qu’il a adressé à la Chambre des recours du Tribunal cantonal. Selon la jurisprudence du Tribunal fédéral, une conversion est exclue lorsque certains griefs relèvent de la voie de droit choisie alors que d’autres devaient être soulevés dans une autre voie de droit (ATF 134 III 379 c. 1.2 et les réf. citées ; ATF 131 III 268 c. 6 et les réf. citées). L’acte du 11 juin 2015 sera dès lors exclusivement traité comme un recours. Déposé dans le délai légal, le recours est dès lors recevable en tant qu’il porte sur le montant de l’indemnité alloué au défenseur d’office. Il ne l’est en revanche pas en tant qu’il porte sur la question de l’indemnité de l’art. 429 CPP.</w:t>
      </w:r>
    </w:p>
    <w:p>
      <w:r>
        <w:rPr>
          <w:b/>
        </w:rPr>
        <w:t>E. 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l'espèce, le recourant conteste le montant de l’indemnité de défenseur d’office alloué par les premiers juges, à savoir 5'113 fr. 80. Il revendique un montant de 9'412 fr. 20. La valeur litigieuse est ainsi de 4'298 fr. 40 de sorte que le recours est de la compétence d’un juge unique de la Chambre des recours pénale (art. 395 let. b CPP; Juge unique CREP 19 mars 2015/201).</w:t>
      </w:r>
    </w:p>
    <w:p>
      <w:r>
        <w:rPr>
          <w:b/>
        </w:rPr>
        <w:t>E. 3</w:t>
      </w:r>
    </w:p>
    <w:p>
      <w:r>
        <w:t>Le recourant conteste le tarif horaire de 180 fr. appliqué par les premiers juges pour fixer l’indemnité qui lui a été allouée et revendique l’application d’un tarif horaire de 350 fr., conformément à l’art. 429 al. 1 let. a CPP.</w:t>
      </w:r>
    </w:p>
    <w:p>
      <w:r>
        <w:rPr>
          <w:b/>
        </w:rPr>
        <w:t>E. 3.1</w:t>
      </w:r>
    </w:p>
    <w:p>
      <w:r>
        <w:t>Aux termes de l'art. 429 CPP, si le prévenu est acquitté totalement ou en partie ou s'il bénéficie d'une ordonnance de classement, il a droit à une indemnité pour les dépenses occasionnées par l'exercice raisonnable de ses droits de procédure (al. 1 let. a). L'indemnité au sens de cette disposition concerne les dépenses du prévenu pour un avocat de choix. Le prévenu acquitté qui est au bénéfice de l’assistance judiciaire n’a en principe pas à assumer les frais imputables à la défense d’office et ne saurait prétendre à une indemnité pour ses frais de défense (ATF 138 IV 205 c. 1). En l’espèce, le recourant a fonctionné en qualité de défenseur d’office. Conformément à la jurisprudence rappelée ci-dessus, qu’il cite d’ailleurs lui-même dans son acte, l’art. 429 al. 1 let. a CPP concerne uniquement l’indemnisation d’un conseil de choix de sorte qu’il n’entre pas en ligne de compte dans le cas présent.</w:t>
      </w:r>
    </w:p>
    <w:p>
      <w:r>
        <w:rPr>
          <w:b/>
        </w:rPr>
        <w:t>E. 3.2</w:t>
      </w:r>
    </w:p>
    <w:p>
      <w:r>
        <w:t>Le défenseur d’office est indemnisé conformément au tarif des avocats de la Confédération ou du canton du for du procès (art. 135 al. 1 CPP). Il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représentant qualifié y a consacré et de la qualité de son travail, du nombre de conférences, d’audiences et d’instances auxquelles il a pris part, du résultat obtenu et, enfin, de la responsabilité qu’il a assumée (cf. p. ex. TF 6B_745/2009 du 12 novembre 2009 c. 10.1). Dans le canton de Vaud, l'indemnité horaire de l’avocat d’office breveté est usuellement fixée à 180 fr., TVA en sus, et celle de l’avocat-stagiaire à 110 fr. (cf. art. 2 al. 1 RAJ [Règlement du</w:t>
      </w:r>
    </w:p>
    <w:p>
      <w:r>
        <w:rPr>
          <w:b/>
        </w:rPr>
        <w:t>E. 7</w:t>
      </w:r>
    </w:p>
    <w:p>
      <w:r>
        <w:t>décembre 2010 sur l’assistance judiciaire en matière civile; RSV 211.02.3]; ATF 137 III 185). Dans le cas d’espèce, les premiers juges ont arrêté l’indemnité de défenseur d’office sur la base des indications figurant dans la liste des opérations produite par le recourant, en y ajoutant 2 heures 45 afin de tenir compte de l’audience de jugement. Ils ont en outre appliqué le tarif horaire usuel de 180 fr., conformément à la jurisprudence constante rappelée ci-dessus. Le montant alloué par 5'113 fr. 80 ne prête dès lors pas le flanc à la critique et doit être confirmé. 4. En définitive, le recours, mal fondé, doit être rejeté. Les frais de la procédure de recours, constitués en l'espèce de l'émolument d’arrêt, par 540 fr. (art. 20 al. 1 TFIP  [Tarif des frais de procédure et indemnités en matière pénale du 28 septembre 2010; RSV 312.03.1]), seront mis à la charge du recourant, qui succombe (art. 428 al. 1 CPP). Par ces motifs, le juge unique prononce : I. Le recours est rejeté, dans la mesure où il est recevable. II. Le chiffre III du dispositif du jugement rendu le 1 er juin 2015 par le Tribunal correctionnel de l’arrondissement de l’Est vaudois est confirmé. III. Les frais d’arrêt, par 540 fr. (cinq cent quarante francs), sont mis à la charge du recourant. IV. Le présent arrêt est exécutoire. Le juge unique :               La greffière : Du Le présent arrêt, dont la rédaction a été approuvée à huis clos, est notifié, par l'envoi d'une copie complète, à : - M. S.________, avocat, - Ministère public central, et communiqué à : ‑ Mme la Présidente du Tribunal correctionnel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