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 vom 10. Oktober 2014</w:t>
      </w:r>
    </w:p>
    <w:p>
      <w:r>
        <w:t>VD Tribunal cantonal, 2014-10-10, FR</w:t>
      </w:r>
    </w:p>
    <w:p>
      <w:r>
        <w:rPr>
          <w:b/>
        </w:rPr>
        <w:t xml:space="preserve">Quelle: </w:t>
      </w:r>
      <w:r>
        <w:t>https://mcp.opencaselaw.ch/entscheid/vd_findinfo_D_cision___2015___54</w:t>
      </w:r>
    </w:p>
    <w:p>
      <w:r>
        <w:t>FR: VD_FINDINFO Décision / 2015 / 54 du 10 octobre 2014</w:t>
      </w:r>
    </w:p>
    <w:p>
      <w:r>
        <w:t>IT: VD_FINDINFO Décision / 2015 / 54 del 10 ottobre 2014</w:t>
      </w:r>
    </w:p>
    <w:p>
      <w:pPr>
        <w:pStyle w:val="Heading2"/>
      </w:pPr>
      <w:r>
        <w:t>Regeste</w:t>
      </w:r>
    </w:p>
    <w:p>
      <w:r>
        <w:t>CLASSEMENT DE LA PROCÉDURE | 14 CP, 319 CPP (CH), 393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T.________, partie plaignante qui 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Conformément à l'art. 14 CP (Code pénal suisse du 21 décembre 1937, RS 311.0),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n'aurait pas pu ou dû se contenter d'avoir recours à des moyens moins dommageables (Monnier, Commentaire romand, Code pénal I,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LPol (loi cantonale vaudoise du 17 novembre 1975 sur la police cantonale; RSV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S'agissant de la Police Municipale de Lausanne, le Règlement général de la police de la commune de Lausanne, du 27 novembre 2001, dispose à son art. 7 al. 1 que la police locale ressortit à la Municipalité qui assure l'exécution du Règlement et veille à son application, par l'entremise du corps de police et des fonctionnaires qu'elle désigne à cet effet et précise à son art. 8 que l'usage de la force devra être proportionné aux circonstances et devra être l'ultime moyen de contrainte.</w:t>
      </w:r>
    </w:p>
    <w:p>
      <w:r>
        <w:rPr>
          <w:b/>
        </w:rPr>
        <w:t>E. 3.2</w:t>
      </w:r>
    </w:p>
    <w:p>
      <w:r>
        <w:t>En l'espèce, le Groupe d'intervention de la Police de Lausanne est intervenu à la demande de ses collègues de la police de sûreté, car T.________ était soupçonné de détenir une arme à feu. Les inspecteurs de la police judiciaire sont restés sur le palier de l'appartement lorsque l'intervention a eu lieu. Des déclarations concordantes des prévenus et de K.________, inspectrice, il résulte que le Groupe d'intervention a procédé aux injonctions d'usage. Mis à part cela, K.________ a expliqué ne pas avoir entendu de bruits de coups ou des cris (PV aud. n°7, l. 51s.). Elle a également confirmé l'appréciation de ses collègues selon laquelle l'intervention avait duré environ 30 secondes, voire une minute au maximum et non 4 ou 5 minutes comme l'affirme le recourant. Ces diverses déclarations laissent peu de place à la version du recourant selon laquelle 4 ou 5 personnes se seraient jetées sur lui alors qu'il se trouvait encore au lit, l'auraient roué de coups jusqu'à ce qu'il s'évanouisse avant de le jeter à terre et à nouveau le rouer de coups et lui infliger un coup de matraque. En outre, si le recourant avait, comme il le prétend, réellement reçu de nombreux coups de pieds et de poings de la part d'hommes suréquipés, les lésions, telles qu'elles ont été objectivées dans le cadre du rapport médical à la suite du contrôle effectué au CHUV, auraient été bien plus graves. A cet égard, il n'est pas inutile de rappeler que, si le rapport des urgences du CHUV a fait état d'une suspicion de fracture des côtes, il ne mentionne pour l'essentiel que des dermabrasions. Ce constat, de même que celui résultant du rapport établi le 3 janvier 2013 par l'Unité des violences du CHUV, n'est pas compatible avec un passage à tabac de l'ampleur de celui décrit par le recourant, les rapports médicaux allant au contraire dans le sens de la version donnée par les policiers. Cela étant brièvement exposé, c'est à juste titre que la procureure a considéré que la version des prévenus, selon laquelle T.________ n'ayant pas obtempéré, il avait été plaqué au sol afin d'être entravé – ce qui avait pu lui occasionner les diverses dermabrasions constatées, voire la trace sur le visage si sa tête avait heurté le sol – était la plus plausible et, partant, qu'aucun abus d'abus d'autorité ne pouvait être reproché aux policiers, les lésions corporelles constatées restant dans les limites de l'art. 14 CP. Dans ces circonstances, la décision de classement ne prête pas le flanc à la critique.</w:t>
      </w:r>
    </w:p>
    <w:p>
      <w:r>
        <w:rPr>
          <w:b/>
        </w:rPr>
        <w:t>E. 4</w:t>
      </w:r>
    </w:p>
    <w:p>
      <w:r>
        <w:t>En définitive, le recours doit être rejeté et l'ordonnance de classement confirmée. Les frais de la procédure d'appel, constitués en l'espèce du seul émolument d'arrêt (art. 422 al. 1 CPP et 20 al. 1 TFIP [Tarif des frais de procédure et indemnités en matière pénale du 28 septembre 2010; RSV 312.03.1]), par 880 fr. (sept cent septante francs), seront supportés par le recourant, qui succombe (art. 428 al. 1 CP). A cet égard, il convient encore de préciser qu'il n'y a pas lieu de statuer sur la demande de recourant de désigner son avocat comme conseil juridique gratuit, dès lors que la procureure avait déjà rejeté cette désignation par ordonnance du 11 mars 2013. Les intimés, qui, devant la Cour de céans, ont procédé avec l'assistance d'un conseil professionnel, ont droit à une indemnité pour les dépenses occasionnées par l'exercice raisonnable de leurs droits dans le cadre de la présente procédure de recours, conformément à l'art. 429 al. 1 let. a CPP (cf. CREP 22 septembre 2011/435). Au vu du mémoire produit et des caractéristiques de la cause, l'indemnité allouée doit être arrêtée à 1'209 fr. 60 pour toutes choses. Par ces motifs, la Chambre des recours pénale prononce : I. Le recours est rejeté. II. L'ordonnance du 30 juillet 2014 est confirmée. III . Une indemnité de 1'209 fr. 60 est allouée aux intimés au titre de dépenses occasionnées par l’exercice de leurs droits de procédure, à la charge de l'Etat. IV. Les frais d'arrêt, par 880 fr. (huit cent huitante francs), sont mis à la charge du recourant. V. Le présent arrêt est exécutoire. Le président :               La greffière : Du Le présent arrêt, dont la rédaction a été approuvée à huis clos, est notifié, par l'envoi d'une copie complète, à : - M. Laurent Maire, avocat (pour T.________), - M. Olivier Boschetti, avocat (pour Q.________, B.________, C.________, S.________ et O.________),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