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538 vom 11. Juni 2015</w:t>
      </w:r>
    </w:p>
    <w:p>
      <w:r>
        <w:t>VD Tribunal cantonal, 2015-06-11, FR</w:t>
      </w:r>
    </w:p>
    <w:p>
      <w:r>
        <w:rPr>
          <w:b/>
        </w:rPr>
        <w:t xml:space="preserve">Quelle: </w:t>
      </w:r>
      <w:r>
        <w:t>https://mcp.opencaselaw.ch/entscheid/vd_findinfo_D_cision___2015___538</w:t>
      </w:r>
    </w:p>
    <w:p>
      <w:r>
        <w:t>FR: VD_FINDINFO Décision / 2015 / 538 du 11 juin 2015</w:t>
      </w:r>
    </w:p>
    <w:p>
      <w:r>
        <w:t>IT: VD_FINDINFO Décision / 2015 / 538 del 11 giugno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2.2</w:t>
      </w:r>
    </w:p>
    <w:p>
      <w:r>
        <w:t>En l’espèce, le recourant ne développe aucun argument de nature à remettre en cause les conclusions du Ministère public. Il n’existe pas le moindre soupçon d’infraction pénale. Il s’agit d’un litige strictement administratif, qui ne relève pas de la compétence du juge pénal. Toute condamnation pouvant d’emblée être exclue avec certitude, c’est à juste titre que le Ministère public a rendu une ordonnance de non-entrée en matière.</w:t>
      </w:r>
    </w:p>
    <w:p>
      <w:r>
        <w:rPr>
          <w:b/>
        </w:rPr>
        <w:t>E. 3</w:t>
      </w:r>
    </w:p>
    <w:p>
      <w:r>
        <w:t>En définitive, le recours doit être rejeté sans autre échange d’écritures (art. 390 al. 2 CPP) et l’ordonnance du 4 mai 2015 confirmée. La requête d’assistance judiciaire gratuite pour la procédure de recours sera rejetée, car le recours était d’emblée dénué de chances de succès (CREP 4 février 2014/90 ; CREP 28 janvier 2013/37 et les références citées). Les frais de la procédure de recours, constitués uniquement des frais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mai 2015 est confirmée. III. La requête de C.________ tendant à l’octroi de l’assistance judiciaire gratuite pour la procédure de recours est rejetée. IV. Les frais d’arrêt, par 440 fr. (quatre cent quarante francs), sont mis à la charge de C.________. V. Le présent arrêt est exécutoire. Le président :               Le greffier : Du Le présent arrêt,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