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535 vom 14. Juli 2015</w:t>
      </w:r>
    </w:p>
    <w:p>
      <w:r>
        <w:t>VD Tribunal cantonal, 2015-07-14, FR</w:t>
      </w:r>
    </w:p>
    <w:p>
      <w:r>
        <w:rPr>
          <w:b/>
        </w:rPr>
        <w:t xml:space="preserve">Quelle: </w:t>
      </w:r>
      <w:r>
        <w:t>https://mcp.opencaselaw.ch/entscheid/vd_findinfo_D_cision___2015___535</w:t>
      </w:r>
    </w:p>
    <w:p>
      <w:r>
        <w:t>FR: VD_FINDINFO Décision / 2015 / 535 du 14 juillet 2015</w:t>
      </w:r>
    </w:p>
    <w:p>
      <w:r>
        <w:t>IT: VD_FINDINFO Décision / 2015 / 535 del 14 luglio 2015</w:t>
      </w:r>
    </w:p>
    <w:p>
      <w:pPr>
        <w:pStyle w:val="Heading2"/>
      </w:pPr>
      <w:r>
        <w:t>Regeste</w:t>
      </w:r>
    </w:p>
    <w:p>
      <w:r>
        <w:t>LIBÉRATION CONDITIONNELLE, PRONOSTIC, REJET DE LA DEMANDE | 86 al. 1 CP</w:t>
      </w:r>
    </w:p>
    <w:p>
      <w:pPr>
        <w:pStyle w:val="Heading2"/>
      </w:pPr>
      <w:r>
        <w:t>Erwägungen</w:t>
      </w:r>
    </w:p>
    <w:p>
      <w:r>
        <w:rPr>
          <w:b/>
        </w:rPr>
        <w:t>E. 1</w:t>
      </w:r>
    </w:p>
    <w:p>
      <w:r>
        <w:t>a) 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w:t>
      </w:r>
    </w:p>
    <w:p>
      <w:r>
        <w:rPr>
          <w:b/>
        </w:rPr>
        <w:t>E. 2.1</w:t>
      </w:r>
    </w:p>
    <w:p>
      <w:r>
        <w:t>En vertu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 2.3 ;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 Maire, La libération conditionnelle, in :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 ATF 133 IV 201 c. 2.3).</w:t>
      </w:r>
    </w:p>
    <w:p>
      <w:r>
        <w:rPr>
          <w:b/>
        </w:rPr>
        <w:t>E. 2.2</w:t>
      </w:r>
    </w:p>
    <w:p>
      <w:r>
        <w:t>En l'espèce, la condition objective de l’exécution des deux tiers de la peine prévue par l'art. 86 al. 1 CP sera réalisée le 1 er août 2015 et la condition du bon comportement du recourant en détention est remplie. Seule est donc litigieuse la question du pronostic à poser en vertu de l'art. 86 al. 1 CP. A cet égard, la Cour de céans ne peut qu’adhérer aux motifs exposés par le Juge d’application des peines (cf. décision c. 4 let. g) et considère également que le pronostic est défavorable. Tout d’abord, E.________ a été condamné à huit reprises (cf. Aa) et Ab) supra). Ensuite, il a déjà fait l’objet de deux refoulements en Espagne, ce qui ne l’a pas empêché de revenir illégalement en Suisse et d’y commettre de nouvelles infractions, nonobstant les projets qu’il avait présentés devant le Juge d’application des peines dans son audition du 17 février 2014 (P. 3). On doit à l’évidence constater que le seul départ de Suisse de l’intéressé n’est pas à même de garantir qu’il ne se retrouve, en cas de libération, dans les mêmes conditions que celles qui prévalaient lors de la commission des infractions pour lesquelles il a été jugé, à savoir en séjour illégal et sans moyen de subsistance. Au vu de ses déclarations contradictoires notamment, on ne peut exclure qu’il ne revienne en Suisse en cas de nouveau renvoi vers l’Espagne. Ses récentes déclarations quant au fait que son avenir ne se déroulera pas en Suisse sont sujettes à caution, au vu de ses antécédents, notamment compte tenu du fait que l’éloignement de sa famille ne l’a, par le passé, pas empêché de revenir en Suisse. La dernière condition légale cumulative posée à la libération conditionnelle n’est ainsi pas réalisée et c’est à raison que le Juge d’application des peines a refusé la libération conditionnelle au recourant. Enfin, on rappellera à E.________, qui se plaint dans son recours de n’avoir pu être « enfin » refoulé vers l’Espagne, que suite à son arrestation le 22 juillet 2014, alors qu’il était sorti de prison le 31 mai 2014, il devait quitter notre territoire de son propre chef, et n’avait pas à attendre une expulsion par les autorités compétentes.</w:t>
      </w:r>
    </w:p>
    <w:p>
      <w:r>
        <w:rPr>
          <w:b/>
        </w:rPr>
        <w:t>E. 3</w:t>
      </w:r>
    </w:p>
    <w:p>
      <w:r>
        <w:t>Il résulte de ce qui précède que le recours doit être rejeté sans autre échange d’écritures (art. 390 al 2 CPP) et l’ordonnance confirmée. Les frais de la procédure de recours, constitués en l’espèce du seul émolument d'arrêt,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26 juin 2015 est confirmée. III. Les frais du présent arrêt, par 880 fr. (huit cent huitante francs), sont mis à la charge de E.________. IV. Le présent arrêt est exécutoire. Le vice-président : La greffière : Du Le présent arrêt, dont la rédaction a été approuvée à huis clos, est notifié, par l'envoi d'une copie complète, à : - M. E.________, - Ministère public central, et communiqué à : - Mme le Juge d’application des peines, - Ministère public de l’arrondissement de Lausanne, - Office d’exécution des peines ([…]), - Prison du Bois-Mermet, - SPM – Valais,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