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531 vom 2. Juli 2015</w:t>
      </w:r>
    </w:p>
    <w:p>
      <w:r>
        <w:t>VD Tribunal cantonal, 2015-07-02, FR</w:t>
      </w:r>
    </w:p>
    <w:p>
      <w:r>
        <w:rPr>
          <w:b/>
        </w:rPr>
        <w:t xml:space="preserve">Quelle: </w:t>
      </w:r>
      <w:r>
        <w:t>https://mcp.opencaselaw.ch/entscheid/vd_findinfo_D_cision___2015___531</w:t>
      </w:r>
    </w:p>
    <w:p>
      <w:r>
        <w:t>FR: VD_FINDINFO Décision / 2015 / 531 du 2 juillet 2015</w:t>
      </w:r>
    </w:p>
    <w:p>
      <w:r>
        <w:t>IT: VD_FINDINFO Décision / 2015 / 531 del 2 luglio 2015</w:t>
      </w:r>
    </w:p>
    <w:p>
      <w:pPr>
        <w:pStyle w:val="Heading2"/>
      </w:pPr>
      <w:r>
        <w:t>Regeste</w:t>
      </w:r>
    </w:p>
    <w:p>
      <w:r>
        <w:t>DÉFENSE D'OFFICE, ASSISTANCE JUDICIAIRE | 132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déposé par le prévenu personnellement est recevable. L’acte adressé par l’avocate Tiphanie Chappuis est en revanche irrecevable car tardif.</w:t>
      </w:r>
    </w:p>
    <w:p>
      <w:r>
        <w:rPr>
          <w:b/>
        </w:rPr>
        <w:t>E. 2.1</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Cette disposition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w:t>
      </w:r>
    </w:p>
    <w:p>
      <w:r>
        <w:rPr>
          <w:b/>
        </w:rPr>
        <w:t>E. 2.2</w:t>
      </w:r>
    </w:p>
    <w:p>
      <w:r>
        <w:t>En l’espèce, la première condition de la défense d’office, soit l’indigence du prévenu (art. 132 al. 1 let. b CPP), est réalisée. En effet, les ressources connues du recourant sont limitées à l’aide sociale et aux prestations de l’assurance-chômage. Pour le reste, les faits faisant l’objet de l’instruction en l’état sont relativement significatifs, de sorte que l’affaire ne peut être tenue comme étant de peu de gravité. En outre, les affaires de concurrence déloyale se révèlent parfois difficiles. Dans le cas particulier, les infractions pourraient s’avérer complexes à examiner dans un contexte tendu entre parties. Le prévenu est dépourvu de connaissances juridiques. Une condamnation serait de nature à obérer son avenir professionnel. A cela s’ajoute que les parties plaignantes sont assistées d’un avocat. L’assistance d’un avocat apparaît dès lors nécessaire à la sauvegarde des intérêts du prévenu. C’est ainsi à tort que le Ministère public a refusé la désignation d’un défenseur d’office au prévenu.</w:t>
      </w:r>
    </w:p>
    <w:p>
      <w:r>
        <w:rPr>
          <w:b/>
        </w:rPr>
        <w:t>E. 3</w:t>
      </w:r>
    </w:p>
    <w:p>
      <w:r>
        <w:t>Au vu de ce qui précède, le recours sera admis et l’ordonnance réformée en ce sens que Me Tiphanie Chappuis, déjà consultée, est désignée en qualité de défenseur d'office d’K.________. Les frais de la procédure de recours, constitués en l'espèce de l'émolument d'arrêt, par 550 fr. (art. 20 al. 1 TFIP [tarif des frais de procédure et indemnités en matière pénale; RSV 312.03.1]), seront laissés à la charge de l’Etat (art. 423 al. 1 CPP). Il n’y a pas lieu à la désignation d’un conseil pour la procédure de recours, Me Chappuis étant intervenue après le dépôt du recours, rédigé sans son aide. Par ces motifs, la Chambre des recours pénale prononce : I. Le recours est admis. II. L’ordonnance du 1 er mai 2015 est réformée en ce sens que Me Tiphanie Chappuis est désignée en qualité de défenseur d'office d’K.________. III. Les frais du présent arrêt, par 550 fr. (cinq cent cinquante francs), sont laissés à la charge de l'Etat. IV. Le présent arrêt est exécutoire. Le président :               Le greffier : Du Le présent arrêt, dont la rédaction a été approuvée à huis clos, est notifié, par l'envoi d'une copie complète, à : - Mme Tiphanie Chappuis, avocate (pour K.________),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