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527 vom 1. Juli 2015</w:t>
      </w:r>
    </w:p>
    <w:p>
      <w:r>
        <w:t>VD Tribunal cantonal, 2015-07-01, FR</w:t>
      </w:r>
    </w:p>
    <w:p>
      <w:r>
        <w:rPr>
          <w:b/>
        </w:rPr>
        <w:t xml:space="preserve">Quelle: </w:t>
      </w:r>
      <w:r>
        <w:t>https://mcp.opencaselaw.ch/entscheid/vd_findinfo_D_cision___2015___527</w:t>
      </w:r>
    </w:p>
    <w:p>
      <w:r>
        <w:t>FR: VD_FINDINFO Décision / 2015 / 527 du 1 juillet 2015</w:t>
      </w:r>
    </w:p>
    <w:p>
      <w:r>
        <w:t>IT: VD_FINDINFO Décision / 2015 / 527 del 1 luglio 2015</w:t>
      </w:r>
    </w:p>
    <w:p>
      <w:pPr>
        <w:pStyle w:val="Heading2"/>
      </w:pPr>
      <w:r>
        <w:t>Regeste</w:t>
      </w:r>
    </w:p>
    <w:p>
      <w:r>
        <w:t>DÉCISION SUR FRAIS, DÉPENS, MOTIVATION DE LA DÉCISION, CLASSEMENT DE LA PROCÉDURE, DROIT D'ÊTRE ENTENDU | 29 al. 2 Cst., 426 al. 2 CPP (CH), 429 al. 1 let. a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prévenue qui a la qualité pour recourir dans la mesure où elle conteste les frais mis à sa charge et le refus d’une indemnité du chef de l’art. 429 CP (cf. art. 382 al. 1 CPP), le recours est recevable.</w:t>
      </w:r>
    </w:p>
    <w:p>
      <w:r>
        <w:rPr>
          <w:b/>
        </w:rPr>
        <w:t>E. 2</w:t>
      </w:r>
    </w:p>
    <w:p>
      <w:r>
        <w:t>La recourante ne conteste pas le classement en lui-même, mais uniquement la mise à sa charge des frais de justice et le refus de l’allocation d’une indemnité qu’elle avait sollicitée en vertu de l’art. 429 al. 1 let. a CPP.</w:t>
      </w:r>
    </w:p>
    <w:p>
      <w:r>
        <w:rPr>
          <w:b/>
        </w:rPr>
        <w:t>E. 2.1</w:t>
      </w:r>
    </w:p>
    <w:p>
      <w:r>
        <w:t>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 ATF 116 Ia 162).</w:t>
      </w:r>
    </w:p>
    <w:p>
      <w:r>
        <w:rPr>
          <w:b/>
        </w:rPr>
        <w:t>E. 2.2</w:t>
      </w:r>
    </w:p>
    <w:p>
      <w:r>
        <w:t>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Une mise à la charge des frais selon l’art. 426 al. 1 et 2 CPP exclut en principe le droit à des dépens. La question des dépens doit être tranchée après la question des frais. Dans cette mesure, la décision sur les frais préjuge de la question des dépens. Il en résulte qu’en cas de condamnation aux frais, il n’y a pas lieu d’octroyer de dépens ou de réparer le tort moral alors que, lorsque les frais sont supportés par la caisse de l’Etat, le prévenu dispose d’un droit à des dépens (ATF 137 IV 352 c. 2.4.2 p. 357).</w:t>
      </w:r>
    </w:p>
    <w:p>
      <w:r>
        <w:rPr>
          <w:b/>
        </w:rPr>
        <w:t>E. 2.3</w:t>
      </w:r>
    </w:p>
    <w:p>
      <w:r>
        <w:t>Le droit d'être entendu, garanti tant par l'art. 29 al. 2 Cst. que par l'art. 27 al. 2 Cst-VD (Constitution du Canton de Vaud du 14 avril 2003; RSV 101.01), comporte celui de recevoir une décision suffisamment motivée. L'objet et la précision des indications à fournir dépend de la nature de l'affaire et des circonstances particulières du cas; néanmoins, en règle générale, il suffit que l'autorité mentionne au moins brièvement les motifs qui l'ont guidée, permettant ainsi au justiciable d’apprécier correctement la portée de la décision et de l'attaquer à bon escient et à l’autorité de recours d’exercer son contrôle (ATF 138 I 232 c. 5.1 p. 237 et les références citées). La seule référence aux normes légales applicables ne suffit toutefois à cet égard pas (cf. notamment TF 1A.95/2002 du 16 juillet 2002 c. 3.3). Le droit d'être entendu est un droit de nature formelle, dont la violation doit entraîner en principe l'annulation de la décision attaquée avec renvoi du dossier à l'autorité saisie de la cause pour nouvelle décision (ATF 133 I 201 c. 2.2).</w:t>
      </w:r>
    </w:p>
    <w:p>
      <w:r>
        <w:rPr>
          <w:b/>
        </w:rPr>
        <w:t>E. 2.4</w:t>
      </w:r>
    </w:p>
    <w:p>
      <w:r>
        <w:t>L’ordonnance attaquée n’est que très sommairement motivée s’agissant des effets accessoires du classement, mentionnant seulement que « les frais relatifs à la présente décision seront mis à la charge de I.________ dont le comportement civilement répréhensible a donné lieu à l’ouverture de l’enquête, le solde étant réglé par ordonnance pénale distincte ». Si cette indication permet, à la rigueur, de supposer que la condamnation de la recourante aux frais est fondée sur le motif que la prévenue avait provoqué illicitement et fautivement l'ouverture de la procédure en raison de l’atteinte qu’elle aurait portée à la personnalité des enfants au sens des art. 28 ss CC (Code civil suisse du 10 décembre 1907 ; RS 210), force est de constater que la Procureure n’expose nullement en quoi la prévenue aurait eu un tel comportement fautif. Les éléments figurant au dossier ne permettent pas de suppléer cette absence de motivation, les témoins étant loin d’être unanimes et les parents alertés, entendus durant l’enquête, n’ayant pas entrepris la moindre démarche contre la recourante. L’ordonnance attaquée n’indique d’ailleurs pas clairement quels faits reprochés à la prévenue sont tenus pour établis. La motivation ne permet pas non plus de déterminer comment les frais ont été répartis entre l’ordonnance de classement et l’ordonnance pénale, chacune de ces deux décisions renvoyant à l’autre pour « le solde ». Enfin, l’ordonnance attaquée ne fait aucune mention de l’indemnité requise par la prévenue sur la base de l’art. 429 CPP. Il s’avère ainsi que l’ordonnance attaquée est insuffisamment motivée s’agissant des effets accessoires du classement, ce qui constitue une violation du droit d'être entendu de la recourante et prive l’autorité de recours de la possibilité d’exercer correctement son contrôle.</w:t>
      </w:r>
    </w:p>
    <w:p>
      <w:r>
        <w:rPr>
          <w:b/>
        </w:rPr>
        <w:t>E. 2.5</w:t>
      </w:r>
    </w:p>
    <w:p>
      <w:r>
        <w:t>Le recours doit donc être admis et l’ordonnance de classement annulée au chiffre II de son dispositif et maintenue pour le surplus. Le dossier de la cause sera renvoyé à la Procureure du Ministère public central pour qu’elle rende une nouvelle décision sur les conséquences économiques accessoires du classement. Dans ce cadre, celle-ci devra non seulement statuer à nouveau sur les frais mais également statuer sur la prétention de la recourante tendant à l’allocation d’une indemnité fondée sur l’art. 429 CPP. Les frais de la procédure de recours, constitués en l'espèce de l'émolument d'arrêt, par 660 fr. (art. 20 al. 1 TFIP [tarif des frais de procédure et indemnités en matière pénal du 28 septembre 2010 ; RSV 312.03.1]), ainsi que des frais imputables à la défense d’office de la recourante (art. 422 al. 1 et al. 2 let. a CPP), fixés à 720 fr., plus la TVA par 57 fr. 60, soit un total de 777 fr. 60, seront laissés à la charge de l’Etat (art. 428 al. 4 CPP). Par ces motifs, la Chambre des recours pénale prononce : I. Le recours est admis. II. L’ordonnance de classement du 20 avril 2015 est annulée au chiffre II de son dispositif et maintenue pour le surplus. III. Le dossier de la cause est renvoyé au Ministère public central pour qu'il rende une nouvelle décision dans le sens des considérants. IV. Les frais d’arrêt, par 660 fr. (six cent soixante francs), ainsi que l’indemnité due au défenseur d’office de I.________, par 777 fr. 60 (sept cent septante sept francs et soixante centimes), sont laissés à la charge de l'Etat IV. Le présent arrêt est exécutoire. Le président :               La greffière : Du Le présent arrêt, dont la rédaction a été approuvée à huis clos, est notifié, par l'envoi d'une copie complète, à : - M. François Chanson, avocat (pour I.________), - Ministère public central, et communiqué à : ‑ Mme la Procureure du Ministère public central, division affaires spéciales, contrôle et mineurs, - Département de la formation, de la jeunesse et de la culture,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