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525 vom 10. Juli 2015</w:t>
      </w:r>
    </w:p>
    <w:p>
      <w:r>
        <w:t>VD Tribunal cantonal, 2015-07-10, FR</w:t>
      </w:r>
    </w:p>
    <w:p>
      <w:r>
        <w:rPr>
          <w:b/>
        </w:rPr>
        <w:t xml:space="preserve">Quelle: </w:t>
      </w:r>
      <w:r>
        <w:t>https://mcp.opencaselaw.ch/entscheid/vd_findinfo_D_cision___2015___525</w:t>
      </w:r>
    </w:p>
    <w:p>
      <w:r>
        <w:t>FR: VD_FINDINFO Décision / 2015 / 525 du 10 juillet 2015</w:t>
      </w:r>
    </w:p>
    <w:p>
      <w:r>
        <w:t>IT: VD_FINDINFO Décision / 2015 / 525 del 10 luglio 2015</w:t>
      </w:r>
    </w:p>
    <w:p>
      <w:pPr>
        <w:pStyle w:val="Heading2"/>
      </w:pPr>
      <w:r>
        <w:t>Regeste</w:t>
      </w:r>
    </w:p>
    <w:p>
      <w:r>
        <w:t>DÉTENTION PROVISOIRE, RISQUE DE COLLUSION, RISQUE DE RÉCIDIVE | 221 al. 1 let. b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 ATF 124 I 208 c. 3 ; ATF 116 Ia 413 c. 3c ; TF 1B_423/2010 du 17 janvier 2011 c. 4.1 ; TF 1B_410/2010 du 23 décembre 2010 c. 4.1 ; Forster, op. cit., n. 3 ad art. 221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 TF 1B_423/2010 du 17 janvier 2011 c. 4.1 ; Piquerez, Traité de procédure pénale suisse, 2 e éd., Zurich 2006, n. 845 ; Schmocker, op. cit., n. 8 ad art. 221 CPP, p. 1025 : Forster, in : Niggli/Heer/Wiprächtiger [éd.], Basler Kommentar, Schweizerische Strafprozessordnung,</w:t>
      </w:r>
    </w:p>
    <w:p>
      <w:r>
        <w:rPr>
          <w:b/>
        </w:rPr>
        <w:t>E. 2.2</w:t>
      </w:r>
    </w:p>
    <w:p>
      <w:r>
        <w:t>En l’espèce, le recourant a admis avoir subtilisé sur un banc à la gare de Lausanne un disque dur externe et un casque audio de marque « Beats Dr Dre » (PV aud. du 30 juin 2015, pp. 3-4). Ces objets ont été retrouvés à son domicile lors de la perquisition effectuée le 29 juin 2015. Il a nié avoir commis d’autres vols, notamment celui perpétré le 20 mai 2015 dans les locaux de l’entreprise D.________SA. Or, les images de vidéosurveillance montrent le recourant pénétrer dans le bâtiment et quitter les lieux après trois minutes (cf. rapport d’investigation du 30 juin 2015, p. 5). Certes, le recourant soutient qu’il ne serait pas reconnaissable sur la bande vidéo. Toutefois, cet élément relève de l’appréciation, appréciation qui devra s’appuyer sur les éléments de l’enquête en cours, qui n’en est qu’à ses débuts. Compte tenu de ces différents éléments, on peut considérer qu’il existe à ce stade précoce de l’enquête une présomption suffisamment sérieuse de culpabilité à l’encontre de C.________.</w:t>
      </w:r>
    </w:p>
    <w:p>
      <w:r>
        <w:rPr>
          <w:b/>
        </w:rPr>
        <w:t>E. 3.1</w:t>
      </w:r>
    </w:p>
    <w:p>
      <w:r>
        <w:t>Le recourant conteste le risque de collusion (art.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 6.2 et 6.4) –, vise à garantir la constatation exacte et complète des faits. En l’espèce, l’enquête étant à ces débuts, il y a lieu d’établir l’ampleur de l’activité délictueuse du recourant, rechercher d’éventuels autres comparses et déterminer ce qu’il est advenu du butin. En l’état, il faut donc éviter que le recourant n’entrave l’instruction en faisant disparaître des preuves et en prenant contact avec ses complices. Au vu de ce qui précède, le risque de collusion s'oppose à la levée de la détention provisoire du recourant.</w:t>
      </w:r>
    </w:p>
    <w:p>
      <w:r>
        <w:rPr>
          <w:b/>
        </w:rPr>
        <w:t>E. 3.2</w:t>
      </w:r>
    </w:p>
    <w:p>
      <w:r>
        <w:t>Le recourant conteste le risque de récidive (art. 221 al. 1 let. c CPP).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l’espèce, le recourant a déjà été condamné pour le même type d’infraction à deux reprises en octobre et novembre 2014. Il fait en outre l’objet d’autres enquêtes, en particulier pour des vols commis en automne 2014 dans le canton du Valais. En l’état, force est dès lors d’admettre que le risque de récidive doit être considéré comme majeur.</w:t>
      </w:r>
    </w:p>
    <w:p>
      <w:r>
        <w:rPr>
          <w:b/>
        </w:rPr>
        <w:t>E. 4.1</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C.________ est détenu depuis le 30 juin 2015, soit depuis un peu plus d’une semaine. Compte tenu des actes qui lui sont reprochés, le recourant s'expose à une peine privative de liberté d’une durée supérieure à celle de la détention provisoire subie à ce jour. Au surplus, quand bien même le recourant aurait trouvé un emploi et qu’il a un jeune fils, aucune mesure de substitution, telle que le port du bracelet électronique, ne serait de nature à prévenir efficacement les risques retenus. Il n'existe donc en l'état aucun succédané adéquat à la détention provisoire et il n’y a pas lieu de procéder à un complément d’instruction sur ce point. Au vu de ces éléments, le principe de la proportionnalité de la détention provisoire demeure respecté.</w:t>
      </w:r>
    </w:p>
    <w:p>
      <w:r>
        <w:rPr>
          <w:b/>
        </w:rPr>
        <w:t>E. 5</w:t>
      </w:r>
    </w:p>
    <w:p>
      <w:r>
        <w:t>Il résulte de ce qui précède que le recours, manifestement mal fondé, doit être rejeté sans autres échanges d’écritures (art. 390 al. 2 CPP). Le recourant sollicite l’assistance judiciaire gratuite. Or la défense d’office ne prenant fin qu’à l’épuisement des instances cantonales, il n’y a pas matière à une nouvelle désignation pour la procédure de recours. Les frais de la procédure de recours, constitués en l’espèce de l’émolument d'arrêt, par 880 fr. (art. 20 al. 1 [tarif des frais judiciaires de procédure et indemnités en matière pénale du 28 septembre 2010; RSV 312.03.1]) et des frais imputables à la défense d’office (art. 422 al. 1 et 2 let. a CPP), fixés à 720 fr., plus la TVA par 57 fr. 60, soit un total de 777 fr. 60, seront mis à la charge de C.________,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 juillet 215 est confirmée. III. L’indemnité allouée au défenseur d’office de C.________ est fixée à 777 fr. 60 (sept cent septante-sept francs et soixante centimes). IV. Les frais d’arrêt, par 880 fr. (huit cent huitante francs), ainsi que l’indemnité due au défenseur d’office de C.________, par 777 fr. 60 (sept cent septante-sept francs et soixante centimes), sont mis à la charge de ce dernier. V. Le remboursement à l'Etat de l'indemnité allouée au chiffre III ci-dessus ne sera exigible que pour autant que la situation économique de C.________ se soit améliorée. VI. Le présent arrêt est exécutoire. Le vice-président : La greffière : Du Le présent arrêt, dont la rédaction a été approuvée à huis clos, est notifié, par l'envoi d'une copie complète, à : - M. Tony Donnet-Monay, avocat (pour C.________),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