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517 vom 9. Juli 2015</w:t>
      </w:r>
    </w:p>
    <w:p>
      <w:r>
        <w:t>VD Tribunal cantonal, 2015-07-09, FR</w:t>
      </w:r>
    </w:p>
    <w:p>
      <w:r>
        <w:rPr>
          <w:b/>
        </w:rPr>
        <w:t xml:space="preserve">Quelle: </w:t>
      </w:r>
      <w:r>
        <w:t>https://mcp.opencaselaw.ch/entscheid/vd_findinfo_D_cision___2015___517</w:t>
      </w:r>
    </w:p>
    <w:p>
      <w:r>
        <w:t>FR: VD_FINDINFO Décision / 2015 / 517 du 9 juillet 2015</w:t>
      </w:r>
    </w:p>
    <w:p>
      <w:r>
        <w:t>IT: VD_FINDINFO Décision / 2015 / 517 del 9 luglio 2015</w:t>
      </w:r>
    </w:p>
    <w:p>
      <w:pPr>
        <w:pStyle w:val="Heading2"/>
      </w:pPr>
      <w:r>
        <w:t>Regeste</w:t>
      </w:r>
    </w:p>
    <w:p>
      <w:r>
        <w:t>RISQUE DE FUITE, RISQUE DE RÉCIDIVE | 221 al. 1 let. a CPP (CH), 221 al. 1 let. c CPP (CH)</w:t>
      </w:r>
    </w:p>
    <w:p>
      <w:pPr>
        <w:pStyle w:val="Heading2"/>
      </w:pPr>
      <w:r>
        <w:t>Erwägungen</w:t>
      </w:r>
    </w:p>
    <w:p>
      <w:r>
        <w:rPr>
          <w:b/>
        </w:rPr>
        <w:t>E. 1.1</w:t>
      </w:r>
    </w:p>
    <w:p>
      <w:r>
        <w:t>Aux termes de l’art. 393 al. 1 let. c CPP (Code de procédure pénale suisse du 5 octobre 2007, RS 312.0), le recours est recevable contre les décisions du Tribunal des mesures de contrainte dans les cas prévus par le code. Ce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En l’espèce, le recours a été interjeté en temps utile devant l’autorité compétente par le détenu, qui a qualité pour recourir (art. 382 al. 1 CPP), et dans les formes prescrites (art. 385 al. 1 CPP), de sorte qu’il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également être ordonnée s’il y a sérieusement lieu de craindre qu’une personne passe à l’acte après avoir menacé de commettre un crime grave (art. 221 al. 2 CPP ) .</w:t>
      </w:r>
    </w:p>
    <w:p>
      <w:r>
        <w:rPr>
          <w:b/>
        </w:rPr>
        <w:t>E. 2.2</w:t>
      </w:r>
    </w:p>
    <w:p>
      <w:r>
        <w:t>En l’espèce, le recourant ne conteste, à juste titre, pas l’existence de soupçons matériels suffisants de culpabilité, même s’il tente de minimiser la gravité des faits. Il suffit, à cet égard, de renvoyer à l’ordonnance attaquée, étant rappelé que le juge de la détention doit se limiter à une appréciation sommaire des éléments au dossier (CREP 18 juin 2015/418 c. 2.3 in fine). En revanche, le recourant conteste l'existence de risques fondant la détention provisoire. Le Tribunal des mesures de contrainte a retenu l'existence de risques de fuite et de réitération (art. 221 al. 1 let. a et c CPP).</w:t>
      </w:r>
    </w:p>
    <w:p>
      <w:r>
        <w:rPr>
          <w:b/>
        </w:rPr>
        <w:t>E. 2.3</w:t>
      </w:r>
    </w:p>
    <w:p>
      <w:r>
        <w:t>Le prévenu fait valoir que le risque de fuite devrait « être fortement relativisé », puisqu’il serait rentré du Kosovo à la mi-juin 2015 pour comparaître à l’audience du procureur du 25 juin suivant. Serait-il même établi que ce fait serait sans portée, sachant que les attaches en Suisse du prévenu apparaissent ténues. En effet, ses enfants résident au Kosovo alors qu’il vit séparé de son épouse, suisse, de quelque vingt ans son aînée, depuis 2012 déjà, une mesure d’éloignement ayant même été ordonnée par le juge civil. La prolongation de son permis de séjour apparaît hautement sujette à caution. Pour le reste, la seule présence de collatéraux en Suisse ne saurait suffire à écarter tout danger de fuite, les descendants du prévenu vivant au Kosovo. Dans ces conditions, en l’absence de tout lien suffisamment solide avec la Suisse et vu la gravité des charges qui pèsent contre lui, il est fortement à craindre, au vu de la peine encourue en cas de condamnation, qu’il ne cherche à se soustraire aux poursuites pénales engagées contre lui en entrant dans la clandestinité ou en regagnant son Etat d’origine au bénéfice de la non-extradition des nationaux. Par conséquent, le risque de fuite est concret malgré la présence de membres de la famille du prévenu en Suisse.</w:t>
      </w:r>
    </w:p>
    <w:p>
      <w:r>
        <w:rPr>
          <w:b/>
        </w:rPr>
        <w:t>E. 2.4</w:t>
      </w:r>
    </w:p>
    <w:p>
      <w:r>
        <w:t>Le recourant nie en outre présenter un risque de réitération, notamment sous l’angle du principe de célérité. Bien que les conditions légales de la détention provisoire soient alternatives, et non cumulatives (TF 1B_249/2011 du 7 juin 2011 c. 2.4), il peut néanmoins être d’abord relevé que le prévenu ne dispose guère d’autres ressources que celles découlant de ses malversations diverses, auxquelles il se livre sans discontinuer depuis 2012 à tout le moins; comparées au produit des infractions, les indemnités journalières de l’assurance-accidents dont il tente de tirer argument apparaissent dérisoires. Le pronostic à poser est dès lors défavorable. Il s’agit donc d’un délinquant qui présente à l’évidence un risque de réitération concret. Ensuite, le maintien en détention provisoire en raison du risque de réitération se justifie également pour éviter que, en violation du principe de la célérité, la procédure ne soit sans cesse prolongée par la commission de nouveaux délits (TF 1B_344/2012 du 19 juin 2012 c. 3.2; CREP 18 juin 2015/416 c. 4 in fine). Il est fort probable, en effet, au vu des éléments qui précèdent, que le recourant, une fois remis en liberté, continue ses actes répréhensibles. Ses propos lors de l’audience du 26 juin 2015 dénotent en effet une faible prise de conscience de la gravité des faits incriminés. Pour le reste, c’est de manière insoutenable que le prévenu tente d’imputer aux lenteurs de l’instruction ses infractions récurrentes. Il suffit en effet de relever que les actes incriminés perdurent depuis des années, que la procédure s’alourdit de manière incessante de nouveaux faits à charge et que, le 15 juillet 2014 déjà, le recourant avait fait l’objet d’un avertissement formel du procureur, aux termes duquel sa mise en détention provisoire serait demandée en cas de réitération. Enfin, le moyen selon lequel l’incapacité de travail actuelle du prévenu exclurait toute réitération, se limite à l’aveu implicite du risque de nouvelles infractions sitôt sa capacité de travail recouvrée. Il tombe sous le sens qu’un tel facteur ne peut être qu’en faveur de l’accusation.</w:t>
      </w:r>
    </w:p>
    <w:p>
      <w:r>
        <w:rPr>
          <w:b/>
        </w:rPr>
        <w:t>E. 2.5</w:t>
      </w:r>
    </w:p>
    <w:p>
      <w:r>
        <w:t>Enfin, le recourant conteste la proportionnalité (art. 212 al. 3 CPP) entre la détention provisoire déjà subie, respectivement à subir jusqu’au 25 septembre 2015, et la quotité de la peine privative de liberté susceptible d’être prononcée. Il tente de minimiser les actes incriminés. Il suffit de relever à cet égard qu’au vu des actes qui lui sont reprochés, il s'expose à une peine privative de liberté d’une durée manifestement supérieure à celle de la détention avant jugement subie à ce jour, respectivement à subir. En particulier, le recourant minimise de manière grossière la gravité des infractions à la LEtr, par ailleurs reconnues. En effet, l’art. 117 al. 1 LEtr punit l’emploi illicite de main d’œuvre étrangère, dans les cas graves, d’une peine privative de liberté de trois ans au plus ou d’une peine pécuniaire; en outre, en cas de peine privative de liberté, une peine pécuniaire est également prononcée. L’art. 117 al. 2 LEtr dispose que quiconque, ayant fait l'objet d'une condamnation exécutoire en vertu de l'art. 117 al. 1 LEtr, contrevient de nouveau, dans les cinq années suivantes, à l'alinéa en question, est puni d'une peine privative de liberté de trois ans au plus ou d'une peine pécuniaire; en cas de peine privative de liberté, une peine pécuniaire est également prononcée. Or, le recourant a été condamné pour emploi illicite de main d’œuvre étrangère en 2013, de sorte que les faits incriminés du même ordre paraissent constituer une récidive qualifiée au sens de l’art. 117 al. 2 LEtr. Vu les antécédents du prévenu, le cas pourrait donc s’avérer d’une gravité significative, ce d’autant que d’autres infractions, également reconnues pour l’essentiel, sont aussi en cause. Le principe de la proportionnalité demeure donc respecté (ATF 133 I 168 c. 4.1 et les arrêts cités; ATF 132 I 21 c. 4.1; TF 1B_411/2011 du 31 août 2011 c. 4.1).</w:t>
      </w:r>
    </w:p>
    <w:p>
      <w:r>
        <w:rPr>
          <w:b/>
        </w:rPr>
        <w:t>E. 2.6</w:t>
      </w:r>
    </w:p>
    <w:p>
      <w:r>
        <w:t>Enfin, le recourant fait valoir, à l’appui de ses conclusions subsidiaires, que des mesures de contrôle, telles que la saisie de ses documents d'identité ou l'obligation de se présenter régulièrement à un service administratif (art. 237 al. 2 let. b et d CPP), préviendraient le risque de fuite. Au vu du risque de réitération retenu, des mesures de ce type ne sauraient pallier efficacement ce péril, donc se substituer à la détention provisoire, sans qu’il ne soit même besoin de mentionner la gravité présumable et le caractère récurrent des actes incriminés, ni l’étroitesse des attaches du prévenu avec son pays. Il en va de même de la caution que la partie appelle de ses voeux, soit de la fourniture de sûretés au sens de l’art. 237 al. 2 let. a CPP.</w:t>
      </w:r>
    </w:p>
    <w:p>
      <w:r>
        <w:rPr>
          <w:b/>
        </w:rPr>
        <w:t>E. 3</w:t>
      </w:r>
    </w:p>
    <w:p>
      <w:r>
        <w:t>Il résulte de ce qui précède que le recours, manifestement mal fondé, doit être rejeté sans autres échanges d’écritures (art. 390 al. 2 CPP). Les frais de la procédure de recours, constitués en l’espèce de l’émolument d'arrêt, par 880 fr. (art. 20 al. 1 TFIP [Tarif des frais de procédure et indemnités en matière pénale du 28 septembre 2010; RSV 312.03.1]), et des frais imputables à la défense d’office (art. 422 al. 1 et 2 let. a CPP), fixés à 630 fr., plus la TVA, par 50 fr. 40, soit un total de 680 fr. 40,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26 juin 2015 est confirmée. III. L’indemnité allouée au défenseur d'office de B.________ est fixée à 680 fr. 40 (six cent huitante francs et quarante centimes). IV. Les frais du présent arrêt, par 880 fr. (huit cent huitante francs), ainsi que l’indemnité due au défenseur d’office de B.________, par 680 fr. 40 (six cent huitante francs et quarante centimes), sont mis à la charge de ce dernier. V. Le remboursement à l'Etat de l'indemnité allouée au chiffre III ci-dessus ne sera exigible que pour autant que la situation économique de B.________ se soit améliorée. VI. Le présent arrêt est exécutoire. Le vice-président :              Le greffier : Du L'arrêt qui précède, dont la rédaction a été approuvée à huis clos, est notifié, par l'envoi d'une copie complète, à : - M. François Gillard, avocat (pour B.________), - Ministère public central, et communiqué à : - M. le Président du Tribunal des mesures de contrainte,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