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516 vom 20. Mai 2015</w:t>
      </w:r>
    </w:p>
    <w:p>
      <w:r>
        <w:t>VD Tribunal cantonal, 2015-05-20, FR</w:t>
      </w:r>
    </w:p>
    <w:p>
      <w:r>
        <w:rPr>
          <w:b/>
        </w:rPr>
        <w:t xml:space="preserve">Quelle: </w:t>
      </w:r>
      <w:r>
        <w:t>https://mcp.opencaselaw.ch/entscheid/vd_findinfo_D_cision___2015___516</w:t>
      </w:r>
    </w:p>
    <w:p>
      <w:r>
        <w:t>FR: VD_FINDINFO Décision / 2015 / 516 du 20 mai 2015</w:t>
      </w:r>
    </w:p>
    <w:p>
      <w:r>
        <w:t>IT: VD_FINDINFO Décision / 2015 / 516 del 20 maggio 2015</w:t>
      </w:r>
    </w:p>
    <w:p>
      <w:pPr>
        <w:pStyle w:val="Heading2"/>
      </w:pPr>
      <w:r>
        <w:t>Regeste</w:t>
      </w:r>
    </w:p>
    <w:p>
      <w:r>
        <w:t>CLASSEMENT DE LA PROCÉDURE, DÉCISION, CONDITION DE RECEVABILITÉ, OPPOSITION{PROCÉDURE}, PERSONNE CONCERNÉE | 292 CP, 304 CP, 306 CP, 319 CPP (CH), 354 CPP (CH)</w:t>
      </w:r>
    </w:p>
    <w:p>
      <w:pPr>
        <w:pStyle w:val="Heading2"/>
      </w:pPr>
      <w:r>
        <w:t>Erwägungen</w:t>
      </w:r>
    </w:p>
    <w:p>
      <w:r>
        <w:rPr>
          <w:b/>
        </w:rPr>
        <w:t>E. 1</w:t>
      </w:r>
    </w:p>
    <w:p>
      <w:r>
        <w:t>a) Aux termes de l’art. 393 al. 1 let. b CPP (Code de procédure pénale suisse du 5 octobre 2007; RS 312.0), le recours est en principe recevable contre les ordonnances, les décisions et les actes de procédure des tribunaux de première instance, sauf contre ceux de la direction de la procédure. Le prononcé par lequel un tribunal de première instance, statuant sur la validité de l’opposition formée contre une ordonnance pénale rendue par le Ministère public (cf. art. 356 al. 2 CPP), déclare l’opposition irrecevable, est susceptible de recours selon les art. 393 ss CPP (Gilliéron/Killias, in : Kuhn/Jeanneret [éd.], Commentaire romand, Code de procédure pénale suisse, Bâle 2011, n. 5 ad art. 356 CPP; Riklin, in : Niggli/Heer/ Wiprächtiger [éd.], Basler Kommentar, Schweizerische Strafprozessordnung, Jugendstrafprozessordnung, Bâle 2014, n. 2 ad art. 356 CPP; Christian Schwarzenegger, in : Donatsch/Hansjakob/Lieber [éd.], Kommentar zur Schweizerischen Strafprozessordnung, Zurich/Bâle 2010, n. 2 ad art. 356 CPP. b) En l’espèce, le prononcé entrepris est susceptible de recours. Il y a donc lieu d’entrer en matière sur le recours, qui a été interjeté en temps utile (cf. art. 384 let. b CPP), devant l’autorité compétente (cf. art. 396 al. 1 CPP), par la partie plaignante qui a qualité pour recourir (art. 382 al. 1 CPP) et satisfait aux conditions de forme posées par l’art. 385 al. 1 CPP.</w:t>
      </w:r>
    </w:p>
    <w:p>
      <w:r>
        <w:rPr>
          <w:b/>
        </w:rPr>
        <w:t>E. 2</w:t>
      </w:r>
    </w:p>
    <w:p>
      <w:r>
        <w:t>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w:t>
      </w:r>
    </w:p>
    <w:p>
      <w:r>
        <w:rPr>
          <w:b/>
        </w:rPr>
        <w:t>E. 2.1</w:t>
      </w:r>
    </w:p>
    <w:p>
      <w:r>
        <w:t>La partie plaignante ne dispose pas d’un droit général d’opposition. Elle peut néanmoins, dans certains cas, se voir reconnaître la qualité pour former opposition en tant que personne concernée au sens de l’article 354 al. 1 let. b CPP. Tel peut être le cas lorsque la qualification juridique retenue par le procureur a des conséquences préjudiciables pour les prétentions civiles de la partie plaignante, lorsque les frais sont mis à la charge de cette dernière, lorsque l’indemnité réclamée par la partie plaignante pour les dépenses occasionnées par la procédure lui a été refusée (sur ce point particulier, cf. ATF 139 IV 102 c. 5.2, JT 2014 IV 7) ou encore lorsqu’il n’est pas fait mention dans l’ordonnance pénale des prétentions civiles reconnues par le prévenu, étant précisé que le fait de ne pas avoir été invité par le procureur à formuler des conclusions n’autorise pas la partie plaignante à faire opposition (CREP 30 juin 2011/311, publié au JT 2011 III 173, et la doctrine citée). En revanche, et contrairement à ce que retenait encore cet arrêt, le fait qu’une ordonnance pénale contienne un classement implicite sur certains chefs d’accusation n’ouvre pas la voie de l’opposition à la partie plaignante : un tel classement implicite doit en effet être attaqué par la voie du recours (ATF 138 IV 241, c. 2.6).</w:t>
      </w:r>
    </w:p>
    <w:p>
      <w:r>
        <w:rPr>
          <w:b/>
        </w:rPr>
        <w:t>E. 2.2</w:t>
      </w:r>
    </w:p>
    <w:p>
      <w:r>
        <w:t>A ce stade, on ne peut que constater, avec le premier juge, qu’aucune des conditions envisagées par la doctrine et la jurisprudence pour ouvrir la voie de l’opposition à la partie plaignante n’est, en l’espèce, réalisée. La recourante se prévaut d’une indication qui aurait figuré au pied du courrier qui lui a été adressé par la Présidente du Tribunal de police de l’arrondissement de l’Est vaudois le 18 février 2015 l’avertissant qu’elle pourrait prendre des conclusions civiles jusqu’à l’audience. Cette indication ne figure toutefois pas sur l’exemplaire du courrier versé au dossier (pièce 19). On ne voit en outre pas en quoi une telle indication aurait pu avoir une influence sur la recevabilité de l’opposition de la recourante. En définitive, c’est donc à juste titre que l’acte du 21 décembre 2014, considéré comme une opposition, a été déclaré irrecevable par le premier juge. Le prononcé du 16 avril 2015 devra donc être confirmé.</w:t>
      </w:r>
    </w:p>
    <w:p>
      <w:r>
        <w:rPr>
          <w:b/>
        </w:rPr>
        <w:t>E. 3</w:t>
      </w:r>
    </w:p>
    <w:p>
      <w:r>
        <w:t>Cela étant, la Cour constate que dans son acte du 21 décembre 2014, B.X.________ conteste également le classement contenu dans l’ordonnance pénale s’agissant des déclarations de A.X.________ au sujet de ses liens avec la société [...]. Il apparaît ainsi que la recourante souhaitait également recourir contre ce classement.</w:t>
      </w:r>
    </w:p>
    <w:p>
      <w:r>
        <w:rPr>
          <w:b/>
        </w:rPr>
        <w:t>E. 3.1.1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L’ordonnance de classement doit être motivée et rendue par écrit (art. 80 al. 2 CPP; ATF 138 IV 241 c. 2.5). Elle doit en outre être rédigée séparément (art. 80 al. 3 1 re phrase CPP a contrario ) et répondre aux exigences de contenu des prononcés de clôture (cf. art. 81 CPP), ce qui implique qu’elle ne saurait être glissée et mélangée au contenu d’une ordonnance pénale (ATF 138 IV 241 précité c. 2.5; CREP 20 février 2014/143; CREP</w:t>
      </w:r>
    </w:p>
    <w:p>
      <w:r>
        <w:rPr>
          <w:b/>
        </w:rPr>
        <w:t>E. 3.1.2</w:t>
      </w:r>
    </w:p>
    <w:p>
      <w:r>
        <w:t>En l’espèce, le Procureur a expressément indiqué dans son ordonnance pénale qu’il renonçait à sanctionner A.X.________ pour ses déclarations en lien avec la société [...]. L’abandon de la procédure pénale relative à ces faits aurait dû être consacré par une ordonnance de classement séparée mentionnant les voies de recours. Les parties ne devant pas subir de préjudice en raison d’une indication inexacte des voies de droit (ATF 117 Ia 297 c. 2 ; ATF 117 Ia 421 c. 2c), on ne saurait reprocher à la recourante, non assistée, de ne pas avoir saisi la Chambre des recours pénale du Tribunal cantonal d’un recours en bonne et due forme contre le classement contenu dans l’ordonnance pénale qui indiquait la procédure à suivre en cas d’opposition et non celle à suivre en cas de recours contre un classement. D’ailleurs, l’art. 91 al. 4 CPP stipule que le délai est également réputé observé si l’écrit parvient au plus tard le dernier jour du délai à une autorité suisse non compétente, laquelle doit transmettre l’écrit sans retard à l’autorité pénale compétente. Le Procureur aurait ainsi dû transmettre cet acte également à la Chambre des recours pénale comme objet de sa compétence. Partant, il y a lieu de considérer l’acte déposé 21 décembre 2014 également comme un recours contre le classement contenu dans l’ordonnance pénale du 11 décembre 2014 et d’admettre qu’il a été déposé en temps utile et dans les formes requises.</w:t>
      </w:r>
    </w:p>
    <w:p>
      <w:r>
        <w:rPr>
          <w:b/>
        </w:rPr>
        <w:t>E. 3.2</w:t>
      </w:r>
    </w:p>
    <w:p>
      <w:r>
        <w:t>L’art. 382 al. 1 CPP (Code de procédure pénale suisse du 5 octobre 2007; RS 312.0) dispose que toute partie qui a un intérêt juridiquement protégé à l’annulation ou à la modification d’une décision a qualité pour recourir contre celle-ci. La qualité pour recourir de la partie plaignante contre une ordonnance de classement est subordonnée à la condition que celle-ci soit directement touchée par l’infraction et puisse faire valoir un intérêt juridiquement protégé à l’annulation de la décision (TF 1B_489/2011 du 4 janvier 2012 c. 2.1). En l’espèce, bien que l’infraction visée à l’art. 306 CP ne protège qu’indirectement les intérêts privés (Dupuis et al. [éd.], Petit commentaire, Code pénal, Bâle 2012, n. 1 et 2 ad art. 306 CP), la recourante a un intérêt évident à agir s’agissant des propos tenus par A.X.________ dans le cadre d’une procédure de séparation avec des enjeux financiers. Le recours est ainsi recevable.</w:t>
      </w:r>
    </w:p>
    <w:p>
      <w:r>
        <w:rPr>
          <w:b/>
        </w:rPr>
        <w:t>E. 3.3.1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11 avril 2014/280 c. 2a; CREP 24 mars 2014/226 c. II/2 et les références citées).</w:t>
      </w:r>
    </w:p>
    <w:p>
      <w:r>
        <w:rPr>
          <w:b/>
        </w:rPr>
        <w:t>E. 3.3.2</w:t>
      </w:r>
    </w:p>
    <w:p>
      <w:r>
        <w:t>Selon l’art. 306 al. 1 CP, se rend coupable de l'infraction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La déclaration doit porter sur les faits de la cause. C’est le cas lorsqu’elle est en rapport avec l’épuration ou la constatation de l’état de fait qui constitue l’objet du procès. Ne sont pas des déclarations sur un fait de la cause, au sens de l’art. 306 CP, les opinions, les jugements de valeur, les suppositions et les pures appréciations concernant le for intérieur. La déclaration doit être fausse. Elle n’est objectivement pas conforme à la vérité ou elle est incomplète. La déclaration doit en outre être un moyen de preuve selon la loi de procédure applicable. C’est le cas concernant la nouvelle procédure civile suisse unifiée : l’art. 168 al. 1 let. f CPC reconnaît « l’interrogatoire et la déposition d’une partie en tant que moyen de preuve dans le cadre d’un procès civil. La forme de l’interrogatoire doit respecter les règles de procédure applicable en la matière. En cas de non respect des exigences de formes, l’interrogatoire n’est pas valable en tant que preuve. La fausse déclaration n’est punissable que si la partie a été expressément invitée par le juge à dire la vérité, et rendue attentive aux poursuites pénales en cas de fausse déclaration (Dupuis et alii, Code pénal, Petit commentaire, Bâle 2012, n. 12 ss ad art. 306 CP et les références citées).</w:t>
      </w:r>
    </w:p>
    <w:p>
      <w:r>
        <w:rPr>
          <w:b/>
        </w:rPr>
        <w:t>E. 3.3.3</w:t>
      </w:r>
    </w:p>
    <w:p>
      <w:r>
        <w:t>En l’espèce, à ce stade de la procédure, on ne saurait exclure que A.X.________ ait menti lorsqu’il a affirmé, le 7 octobre 2013, devant le Président du Tribunal d’arrondissement de l’Est vaudois, qu’il ne possédait plus d’intérêts dans la société [...]. En effet, à la lecture des pièces produites par la recourante en annexe à sa plainte pénale (P. 5-30/22) et à son opposition (P. 16-7 à 11), soit notamment des échanges de courriels entre [...] de la société [...] et l’assistante de [...] datant du mois de janvier 2014, on constate que A.X.________ semble toujours avoir une fonction dirigeante auprès de cette dernière ou qu’à tout le moins, il exerce toujours une activité pour le compte de cette société, ce qui pourrait signifier que l’intéressé en retire encore des revenus. Les explications que A.X.________ a fournies à ce sujet lors de son audition du 26 septembre 2014 devant le Procureur ne sont pas suffisantes et il convient dès lors d’instruire plus avant cette question. 4. En définitive, le recours dirigé contre le prononcé rendu le 16 avril 2014 par le Tribunal de police de l’arrondissement de l’Est vaudois doit être rejeté et le prononcé confirmé. Le recours dirigé contre le classement contenu dans l’ordonnance pénale du 11 décembre 2014 doit être admis et l’ordonnance pénale annulée en tant qu’elle classe l’instruction ouverte contre A.X.________ pour fausse déclaration en justice en raison des propos qu’il a tenu le 7 octobre 2013 devant le Président du Tribunal civil de l’arrondissement de l’Est vaudois au sujet de ses liens avec la société [...], cette ordonnance devant être maintenue pour le surplus. Vu l’issue de la cause, les frais, par 1’100 fr., seront exceptionnellement laissés à la charge de l’Etat. Par ces motifs, la Chambre des recours pénale prononce : I. Le recours dirigé contre le prononcé rendu le 16 avril 2015 par la Présidente du Tribunal de police de l’arrondissement de l’Est vaudois est rejeté. II. Le prononcé rendu le 16 avril 2015 par la Présidente du Tribunal de police de l’arrondissement de l’Est vaudois est confirmé. III. Le recours dirigé contre le classement contenu dans l’ordonnance pénale rendue le 11 décembre 2014 par le Ministère public de l’arrondissement de l’Est vaudois est admis. IV. L’ordonnance pénale rendue le 11 décembre 2014 par le Ministère public de l’arrondissement de l’Est vaudois est annulée en tant qu’elle classe l’instruction ouverte contre A.X.________ pour fausse déclaration d’une partie en justice en raison des propos qu’il a tenu le 7 octobre 2013 devant le Président du Tribunal civil de l’arrondissement de l’Est vaudois au sujet de ses liens avec la société [...]. Elle est maintenue pour le surplus. V. Les frais, par 1'100 fr. (mille cent francs), sont laissés à la charge de l’Etat. VI. Le présent arrêt est exécutoire. Le président :               La greffière : Du Le présent arrêt, dont la rédaction a été approuvée à huis clos, est notifié, par l'envoi d'une copie complète, à : - Mme B.X.________, - M. Marc-Antoine Aubert, avocat (pour A.X.________),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octobre 2013/675 ; CREP 3 septembre 2013/582; CREP 24 juillet 2013/503)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