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513 vom 8. Juli 2015</w:t>
      </w:r>
    </w:p>
    <w:p>
      <w:r>
        <w:t>VD Tribunal cantonal, 2015-07-08, FR</w:t>
      </w:r>
    </w:p>
    <w:p>
      <w:r>
        <w:rPr>
          <w:b/>
        </w:rPr>
        <w:t xml:space="preserve">Quelle: </w:t>
      </w:r>
      <w:r>
        <w:t>https://mcp.opencaselaw.ch/entscheid/vd_findinfo_D_cision___2015___513</w:t>
      </w:r>
    </w:p>
    <w:p>
      <w:r>
        <w:t>FR: VD_FINDINFO Décision / 2015 / 513 du 8 juillet 2015</w:t>
      </w:r>
    </w:p>
    <w:p>
      <w:r>
        <w:t>IT: VD_FINDINFO Décision / 2015 / 513 del 8 luglio 2015</w:t>
      </w:r>
    </w:p>
    <w:p>
      <w:pPr>
        <w:pStyle w:val="Heading2"/>
      </w:pPr>
      <w:r>
        <w:t>Regeste</w:t>
      </w:r>
    </w:p>
    <w:p>
      <w:r>
        <w:t>DÉTENTION PROVISOIRE, PROLONGATION, PROPORTIONNALITÉ, PRINCIPE DE LA CÉLÉRITÉ, SOUPÇON | 221 al. 1 let. c CPP (CH), 222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w:t>
      </w:r>
    </w:p>
    <w:p>
      <w:r>
        <w:rPr>
          <w:b/>
        </w:rPr>
        <w:t>E. 2.2</w:t>
      </w:r>
    </w:p>
    <w:p>
      <w:r>
        <w:t>Le recourant fait valoir que les derniers éléments de l’instruction ne permettent pas de considérer que les soupçons à son égard se sont renforcés, mais, au contraire, que l’accusation tend plutôt à se réduire à son encontre. A cet égard, il relève que le 31 mars 2015, il a requis l’extraction des données du téléphone portable de la plaignante, lequel devait contenir, selon lui, les véritables raisons de ses accusations mensongères. Toutefois, il considère que l’extraction n’a été ordonnée que tardivement, soit au mois de mai 2015, et il relève que le Ministère public n’a finalement pu extraire que des données postérieures au 17 avril 2015, date à laquelle la plaignante a réinitialisé son téléphone portable, faisant disparaître les preuves espérées par le recourant. Il ajoute qu’on ne saurait donner aucun crédit à l’argument de la plaignante selon lequel cette réinitialisation de son téléphone aurait été effectuée dans l’objectif de donner son appareil à sa fille, dès lors que celle-ci ne vit pas en Suisse et que la plaignante ne peut pas sortir de notre pays. Enfin, il fait valoir que la plaignante a manifestement pris des mesures afin de s’assurer que les témoins parleraient en sa faveur, notamment en se rendant en 2015 sur le lieu de travail d’E.________ qu’elle n’avait pas revu depuis plusieurs années. Depuis le début de l’instruction, le recourant nie intégralement les faits qui lui sont reprochés. Toutefois, comme le relevait déjà la Cour de céans dans son arrêt du 30 mars 2015 (CREP/224, c. 2.2) auquel il y a lieu de se référer, la version de la plaignante est corroborée par plusieurs témoignages, notamment ceux de [...], employeur d’I.________ (PV aud. du 4 mars 2015) et de [...] (PV aud. du 4 mars 2015) qui ont constaté des blessures sur la prévenue en décembre 2014, ainsi que celui de  [...] (PV aud. du 4 mars 2015) qui a assisté à une dispute entre le prévenu et la plaignante. Il y a également lieu de relever que S.________ a déposé plainte contre le prévenu après avoir été victime du comportement routier agressif de ce dernier le 24 décembre 2014. Au surplus, la perquisition du véhicule du recourant a permis la découverte d’un bidon d’essence, d’une corde et d’une queue de billard – que la plaignante semble avoir confondue avec une batte de baseball –, ce qui corrobore, une fois de plus, les déclarations d’I.________ . Avec le recourant, on peut admettre que les deux dernières auditions effectuées, soit celle d’E.________, l’un des anciens employeurs de la plaignante, le 30 juin 2015 et de [...], ex-épouse du prévenu, le</w:t>
      </w:r>
    </w:p>
    <w:p>
      <w:r>
        <w:rPr>
          <w:b/>
        </w:rPr>
        <w:t>E. 2.3</w:t>
      </w:r>
    </w:p>
    <w:p>
      <w:r>
        <w:t>Pour le surplus, le recourant ne conteste pas le risque de récidive retenu. A cet égard, la Cour de céans se réfère dans son intégralité au considérant qu'elle a développé dans son arrêt du 30 mars 2015, qui conserve sa pertinence (arrêt déjà cité, c. 3). Ce procédé est admissible au regard des exigences du droit d’être entendu (TF 1B_149/2010 du 1 er juin 2010 c. 1.3 ; CREP 23 octobre 2012/634). 3. 3.1 Le recourant invoque une violation du principe de célérité. En substance, il fait valoir que le Procureur aurait volontairement appointé au 30 juin 2015 l’audition de deux des témoins requis en date du 10 avril 2015 par la défense, soit à une date postérieure à l’échéance de la détention provisoire fixée au 24 juin 2015, pour « se garder un moyen de justifier une nouvelle demande de prolongation de la détention provisoire ». 3.2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(TF 1B_150/2012 du 30 mars 2012 c. 3 et les arrêts cités). Il doit toutefois s'agir d'un manquement particulièrement grave, faisant au surplus apparaître que l'autorité de poursuite n'est plus en mesure de conduire la procédure à chef dans un délai raisonnable (ibid.).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3.3 En l’espèce, le délai dans lequel ont été fixées les auditions des témoins était inférieur à deux mois. Il n’apparaît donc pas excessif, ce d’autant que, comme le mentionnait déjà la Cour de céans dans son arrêt du 30 mars 2015, au c. 3.3, une expertise psychiatrique est en cours – le délai pour le dépôt du rapport ayant été fixé au 30 juillet 2015 – et qu’une libération apparaît inopportune à tout le moins avant que les premières conclusions orales des experts aient été délivrées. A ce jour, les conclusions, même orales, des experts n’ont pas encore été transmises au Ministère public. Ainsi, même si les auditions des témoins avaient eu lieu dans le courant du mois de mai, la détention provisoire se justifierait encore aujourd’hui. On ne saurait par conséquent reprocher à la direction de la procédure un quelconque retard injustifié dans l’avancement de celle-ci. Partant, le moyen invoqué par le recourant doit être rejeté.</w:t>
      </w:r>
    </w:p>
    <w:p>
      <w:r>
        <w:rPr>
          <w:b/>
        </w:rPr>
        <w:t>E. 4</w:t>
      </w:r>
    </w:p>
    <w:p>
      <w:r>
        <w:t>mai 2015, ne contiennent pas réellement d’éléments à charge du prévenu. Toutefois, ces témoignages ne permettent pas non plus de lever les soupçons fondés sur les éléments susmentionnés, dès lors que ces deux témoins s’apparentent davantage à des témoins de moralité, qui n’ont en particulier pas eu connaissance des faits du mois de décembre 2014 ou seulement par ouï-dire de la part de la plaignante (PV aud. d’E.________, lignes 110 et ss). Enfin, contrairement à ce que soutient le recourant, il n’appartient pas à la Cour de céans de procéder à une pesée complète des éléments à charge et à décharge. En particulier, il ne lui appartient pas d’évaluer la pertinence des causes invoquées par la plaignante pour justifier la réinitialisation de son téléphone portable, ou d’en déduire des quelconques éléments à décharge, ni d’apprécier la crédibilité des témoins. Au vu des éléments qui précèdent, il existe, en l’état du dossier, une présomption suffisamment sérieuse de culpabilité à l’encontre de X.________ pour justifier son maintien en détention provisoire.</w:t>
      </w:r>
    </w:p>
    <w:p>
      <w:r>
        <w:rPr>
          <w:b/>
        </w:rPr>
        <w:t>E. 4.1</w:t>
      </w:r>
    </w:p>
    <w:p>
      <w:r>
        <w:t>Le recourant invoque une violation du principe de la proportionnalité. En substance, il fait valoir qu’il n’est pas exclu qu’il ne soit pas reconnu coupable de ce dont la plaignante l’accuse. Il ajoute que l’expertise psychiatrique, dont le rapport est attendu pour le 30 juillet 2015, ne doit pas servir de motif pour justifier plus longtemps sa détention provisoire.</w:t>
      </w:r>
    </w:p>
    <w:p>
      <w:r>
        <w:rPr>
          <w:b/>
        </w:rPr>
        <w:t>E. 4.2</w:t>
      </w:r>
    </w:p>
    <w:p>
      <w:r>
        <w:t>Concernant le respect du principe de la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4.3</w:t>
      </w:r>
    </w:p>
    <w:p>
      <w:r>
        <w:t>En l’espèce, comme déjà dit, il n’appartient pas au juge de la détention de se prononcer sur la culpabilité du prévenu. X.________ est détenu depuis le 24 décembre 2014, soit depuis six mois et demi. Il est notamment prévenu de mise en danger de la vie d’autrui, infraction passible d'une peine privative de liberté de cinq ans au plus, en concours avec plusieurs autres infractions. Ainsi, compte tenu de la gravité des actes qui lui sont reprochés, la durée de la détention provisoire, y compris celle de la prolongation, n'apparaît nullement disproportionnée au regard de la peine encourue. Enfin, une prolongation de trois mois apparaît adéquate au regard des actes d’instruction à intervenir, en particulier du dépôt du rapport d’expertise psychiatrique et du délai qui sera imparti aux parties pour éventuellement demander un complément, étant rappelé que le détenu garde la possibilité de demander, en tout temps, sa mise en liberté. Le principe de la proportionnalité de la détention provisoire demeure donc respecté et le moyen invoqué par le recourant doit être rejeté.</w:t>
      </w:r>
    </w:p>
    <w:p>
      <w:r>
        <w:rPr>
          <w:b/>
        </w:rPr>
        <w:t>E. 5</w:t>
      </w:r>
    </w:p>
    <w:p>
      <w:r>
        <w:t>Il résulte de ce qui précède que le recours, manifestement mal fondé, doit être rejeté sans autres échanges d’écritures (art. 390 al. 2 CPP).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II. L’ordonnance du 23 juin 2015 est confirmée. III. L’indemnité allouée au défenseur d’office de X.________ est fixée à 583 fr. 20 (cinq cent huitante-trois francs et vingt centimes). IV. Les frais d’arrêt, par 990 fr. (neuf cent nonante francs), ainsi que l’indemnité due au défenseur d’office de X.________, par 583 fr. 20 (cinq cent huitante-trois francs et vingt centimes), sont mis à la charge de ce dernier. V. Le remboursement à l'Etat de l'indemnité allouée au chiffre III ci-dessus ne sera exigible que pour autant que la situation économique de X.________ se soit améliorée. VI. Le présent arrêt est exécutoire. Le vice-président : La greffière : Du Le présent arrêt, dont la rédaction a été approuvée à huis clos, est notifié, par l'envoi d'une copie complète, à : - M. Jeton Kryeziu, avocat (pour X.________), - Ministère public central, et communiqué à : - Mme Charlotte Iselin, avocate (pour I.________), ‑ M. le Président du Tribunal des mesures de contrainte, - Mme la Procureure de l’arrondissement du Nord vaudois,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