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508 vom 29. Juni 2015</w:t>
      </w:r>
    </w:p>
    <w:p>
      <w:r>
        <w:t>VD Tribunal cantonal, 2015-06-29, FR</w:t>
      </w:r>
    </w:p>
    <w:p>
      <w:r>
        <w:rPr>
          <w:b/>
        </w:rPr>
        <w:t xml:space="preserve">Quelle: </w:t>
      </w:r>
      <w:r>
        <w:t>https://mcp.opencaselaw.ch/entscheid/vd_findinfo_D_cision___2015___508</w:t>
      </w:r>
    </w:p>
    <w:p>
      <w:r>
        <w:t>FR: VD_FINDINFO Décision / 2015 / 508 du 29 juin 2015</w:t>
      </w:r>
    </w:p>
    <w:p>
      <w:r>
        <w:t>IT: VD_FINDINFO Décision / 2015 / 508 del 29 giugno 2015</w:t>
      </w:r>
    </w:p>
    <w:p>
      <w:pPr>
        <w:pStyle w:val="Heading2"/>
      </w:pPr>
      <w:r>
        <w:t>Regeste</w:t>
      </w:r>
    </w:p>
    <w:p>
      <w:r>
        <w:t>DÉTENTION POUR DES MOTIFS DE SÛRETÉ, RISQUE DE RÉCIDIVE, RISQUE DE FUITE | 221 CPP (CH), 229 al. 1 CPP (CH), 229 al. 3 let. b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Pour qu'une personne soit placée ou maintenue en détention provisoire, il doit exister à son égard des charges suffisantes ou des indices sérieux de culpabilité, c'est-à-dire des raisons plausibles de la soupçonner d'avoir commis une infraction (art. 221 al. 1 CPP; art.</w:t>
      </w:r>
    </w:p>
    <w:p>
      <w:r>
        <w:rPr>
          <w:b/>
        </w:rPr>
        <w:t>E. 5</w:t>
      </w:r>
    </w:p>
    <w:p>
      <w:r>
        <w:t>par. 1 let. c CEDH;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in: Kuhn/Jeanneret (éd.), Commentaire romand, Code de procédure pénale suisse, 2011, n. 8 ad art. 221 CPP ; Forster, in: Niggli/Heer/Wiprächtiger (éd.), Basler Kommentar, Schweizerische Strafprozess-ordnung, 2 e éd., Bâle 2014,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op. cit., n. 3 ad art. 221 CPP). Il appartient en effet au juge du fond, et non à celui de la détention qui est soumis au principe de la célérité (art. 31 al. 3 et 4 Cst.; art. 5 al. 2 CPP), d'apprécier la culpabilité du prévenu (ATF 137 IV 122 c. 3.2 et 3.3; TF 1B_423/2010 du 17 janvier 2011 c. 4.2 ; TF 1B_410/2010 du 23 décembre 2010 c. 4.2 ; Schmocker, op. cit., n.</w:t>
      </w:r>
    </w:p>
    <w:p>
      <w:r>
        <w:rPr>
          <w:b/>
        </w:rPr>
        <w:t>E. 8</w:t>
      </w:r>
    </w:p>
    <w:p>
      <w:r>
        <w:t>ad art. 221 CPP, p. 1025). Le maintien en détention provisoire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le premier juge a constaté qu’il existait des soupçons suffisants, au vu de l’acte d’accusation du 2 juin 2015 à l’encontre du recourant, que ce dernier se soit rendu coupable de crimes et délits graves. Il a également relevé que le recourant avait fait fi d’une décision de justice lui interdisant de s’approcher à moins de 200 mètres de son épouse et de ses quatre enfants (P. 5) et qu’il avait occupé à 18 reprises les services de police depuis 2008 (P. 8, p. 3). Le premier juge a enfin considéré que le risque de réitération était concret, compte tenu du comportement adopté par le recourant durant la procédure et comme le confirmait l’expert dans ses conclusions (P. 7, pp. 8-9). La Cour de céans fait sienne cette appréciation des faits, complète et convaincante, qui ne prête pas le flanc à la critique. En effet, nonobstant les dénégations du recourant, il ressort de sept témoignages concordants que celui-ci s’est toujours montré violent avec sa famille, ses enfants indiquant notamment vivre dans la terreur de leur père (P. 6 du dossier TMC, pp 4-9). Il existe dès lors des indices suffisants de culpabilité, la perspective d'une condamnation apparaissant à ce stade suffisamment concrète. Quant au risque de récidive, il semble évident compte tenu des antécédents pénaux du recourant, qui a notamment déjà été condamné à une peine privative de liberté de 15 mois pour lésions corporelles graves, lésion corporelles simples qualifiées, voies de fait et injure par le Tribunal correctionnel de l’arrondissement de Lausanne le 23 juillet 2014, peine confirmée par la Cour d’appel pénale le 13 janvier 2015 (CAPE 13 janvier 2015/2). Ce risque est d’autant plus important que le recourant est dans le déni, comme cela ressort d’ailleurs des conclusions de l’expertise, et qu’il n’a pas tenu compte d’une interdiction d’approcher son épouse et ses enfants prononcée par le Président du Tribunal civil de l’arrondissement de Lausanne le 17 septembre 2014 (P. 5 dossier TMC). 3. Le Tribunal des mesures de contrainte a ordonné la prolongation de la détention du recourant sans se prononcer sur les risques de collusion et de fuite invoqués par le Ministère public dans sa demande du 2 juin 2015. La Cour de céans, qui examine la cause librement en fait et en droit (art. 393 al. 2 CPP ; CREP 21 mai 2014/353 c. 1 et les références citées), examinera ces motifs de détention, bien qu’il n’aient pas été explicitement retenus dans l’ordonnance attaquée. 3.1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 TF 1B_145/2012 du 19 avril 2012 c. 3.1 et les références citées). 3.2 En l’occurrence, s’agissant du risque de collusion, la Cour de céans constate que le recourant semble avoir imposé le silence à ses proches durant de nombreuses années, s’agissant des violences domestiques qu’il leur a fait subir. Lorsque ce silence a finalement été rompu, il n’a eu de cesse de se rendre au domicile de son épouse et de ses enfants, nonobstant l’interdiction qui lui avait été faite par le Président du Tribunal civil de l’arrondissement de Lausanne, afin de pousser son épouse à retirer la plainte qu’elle avait déposée contre lui. Le conseil de la plaignante s’en est d’ailleurs plaint auprès du Ministère public (P. 74 dossier TMC). Le recourant paraît d’ailleurs être conscient de l’emprise qu’il exerce toujours sur son épouse et ses enfants, puisqu’il n’a pas hésité à déclarer au procureur que s’il était libéré et qu’il pouvait leur parler « rien que dix minutes, leur version des faits va changer » (PV aud. d’arrestation du 28 avril 2015, l. 99-100). Quant au risque de fuite, il est avéré dans la mesure où le recourant n’a ni emploi ni domicile fixe en Suisse, qu’il nie les faits qui lui sont reprochés et qu’il a lui-même écrit à son épouse pour lui dire qu’il quitterait la Suisse à sa sortie de prison (P. 70). Au surplus, et comme l’a retenu le premier juge à raison, aucune mesure de substitution ne serait à même de parer aux risques de réitération, de collusion et de fuite retenus, le recourant se montrant impulsif et incontrôlable et n’ayant pas même été en mesure de respecter l’interdiction qui lui avait été faite par le Président du Tribunal civil de l’arrondissement de Lausanne de s’approcher à moins de 200 mètres de son épouse et de ses quatre enfants. 4. 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Les faits reprochés aux recourant sont graves et le précédent sursis accordé le 23 juillet 2014 risque fortement d’être révoqué. Le recourant s'expose dès lors à une peine privative de liberté d’une durée manifestement supérieure à celle de la détention avant jugement subie à ce jour, respectivement à subir. La détention ordonnée jusqu’au 2 octobre 2015 est dès lors conforme au principe de la proportionnalité, cela d’autant plus que les débats sont déjà fixés et que la lecture du jugement est prévue pour le 24 septembre 2015. C’est dès lors à raison que le Tribunal des mesures de contrainte a rejeté la demande de mise en liberté déposée par G.________ et qu’il a ordonné la détention de celui-ci pour des motifs de sûreté. 5. Il résulte de ce qui précède que le recours, manifestement mal fondé, doit être rejeté sans autres échanges d’écritures (art. 390 al. 2 CPP). Les frais de la procédure de recours, constitués en l’espèce du seul émolument d'arrêt, par 990 fr. (art. 20 al. 1 TFJP [tarif des frais judiciaires pénaux du 28 septembre 2010, RSV 312.03.1]), seront mis à la charge du recourant, qui succombe (art. 428 al. 1 CPP). Par ces motifs, la Chambre des recours pénale prononce : I. Le recours est rejeté. II. L'ordonnance est confirmée. III. L'émolument d'arrêt, par 990 fr. (neuf cent nonante francs), est mis à la charge du recourant. IV. Le présent arrêt est exécutoire. Le président :               La greffière : Du Le présent arrêt, dont la rédaction a été approuvée à huis clos, est notifié, par l'envoi d'une copie complète, à : - M. G.________, - Me Léonard Bruchez, avocat (pour G.________), - Me Habib Tabet, - Ministère public central, et communiqué à : - Mme la Présidente du Tribunal des mesures de contrainte, ‑ M. le Procureur de l’arrondissement de Lausanne, - Tribunal correctionnel de l’arrondissement de Lausanne, - Monsieur Olivier Boschetti, avocat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