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504 vom 2. Juli 2015</w:t>
      </w:r>
    </w:p>
    <w:p>
      <w:r>
        <w:t>VD Tribunal cantonal, 2015-07-02, FR</w:t>
      </w:r>
    </w:p>
    <w:p>
      <w:r>
        <w:rPr>
          <w:b/>
        </w:rPr>
        <w:t xml:space="preserve">Quelle: </w:t>
      </w:r>
      <w:r>
        <w:t>https://mcp.opencaselaw.ch/entscheid/vd_findinfo_D_cision___2015___504</w:t>
      </w:r>
    </w:p>
    <w:p>
      <w:r>
        <w:t>FR: VD_FINDINFO Décision / 2015 / 504 du 2 juillet 2015</w:t>
      </w:r>
    </w:p>
    <w:p>
      <w:r>
        <w:t>IT: VD_FINDINFO Décision / 2015 / 504 del 2 luglio 2015</w:t>
      </w:r>
    </w:p>
    <w:p>
      <w:pPr>
        <w:pStyle w:val="Heading2"/>
      </w:pPr>
      <w:r>
        <w:t>Regeste</w:t>
      </w:r>
    </w:p>
    <w:p>
      <w:r>
        <w:t>DÉTENTION PROVISOIRE, RISQUE DE RÉCIDIVE | 221 al. 1 let. c CPP (CH), 393 al. 1 let. c CPP (CH)</w:t>
      </w:r>
    </w:p>
    <w:p>
      <w:pPr>
        <w:pStyle w:val="Heading2"/>
      </w:pPr>
      <w:r>
        <w:t>Erwägungen</w:t>
      </w:r>
    </w:p>
    <w:p>
      <w:r>
        <w:rPr>
          <w:b/>
        </w:rPr>
        <w:t>E. 4</w:t>
      </w:r>
    </w:p>
    <w:p>
      <w:r>
        <w:t>Il résulte de ce qui précède que le recours, manifestement mal fondé, doit être rejeté sans autre échange d’écritures. L’indemnité due au défenseur d’office du recourant sera fixée à 530 fr. – sur la base de quatre heures de travail d'avocat-stagiaire, au tarif horaire de 110 fr., et d'une demi-heure de travail d'avocat, au tarif horaire de 180 fr. –, plus la TVA, par 42 fr. 40, ce qui porte le montant alloué à 572 fr. 40.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par 572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17 juin 2015 est confirmée. III. L'indemnité allouée au défenseur d'office de Y.________ est fixée à 572 fr. 40 (cinq cent septante-deux francs et quarante centimes). IV. Les frais du présent arrêt, par 880 fr. (huit cent huitante francs), ainsi que l'indemnité due au défenseur d'office de Y.________, par 572 fr. 40 (cinq cent septante-deux francs et quarante centimes), sont mis à la charge de ce dernier. V. Le remboursement à l'Etat de l'indemnité allouée au chiffre III ci-dessus sera exigible pour autant que la situation de Y.________ se soit améliorée. VI. Le présent arrêt est exécutoire. Le président :               La greffière : Du Le présent arrêt, dont la rédaction a été approuvée à huis clos, est notifié, par l'envoi d'une copie complète, à : - M. Arnaud Thièry, avocat (pour Y.________),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