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503 vom 26. Juni 2015</w:t>
      </w:r>
    </w:p>
    <w:p>
      <w:r>
        <w:t>VD Tribunal cantonal, 2015-06-26, FR</w:t>
      </w:r>
    </w:p>
    <w:p>
      <w:r>
        <w:rPr>
          <w:b/>
        </w:rPr>
        <w:t xml:space="preserve">Quelle: </w:t>
      </w:r>
      <w:r>
        <w:t>https://mcp.opencaselaw.ch/entscheid/vd_findinfo_D_cision___2015___503</w:t>
      </w:r>
    </w:p>
    <w:p>
      <w:r>
        <w:t>FR: VD_FINDINFO Décision / 2015 / 503 du 26 juin 2015</w:t>
      </w:r>
    </w:p>
    <w:p>
      <w:r>
        <w:t>IT: VD_FINDINFO Décision / 2015 / 503 del 26 giugno 2015</w:t>
      </w:r>
    </w:p>
    <w:p>
      <w:pPr>
        <w:pStyle w:val="Heading2"/>
      </w:pPr>
      <w:r>
        <w:t>Regeste</w:t>
      </w:r>
    </w:p>
    <w:p>
      <w:r>
        <w:t>CLASSEMENT DE LA PROCÉDURE, LÉSION CORPORELLE SIMPLE, MENACE{DROIT PÉNAL}, CONTRAINTE SEXUELLE, VIOL, ACTE D'ACCUSATION |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les parties plaignantes qui ont la qualité pour recourir (art. 382 al. 1 et art. 396 al. 1 CPP), le recours est recevable.</w:t>
      </w:r>
    </w:p>
    <w:p>
      <w:r>
        <w:rPr>
          <w:b/>
        </w:rPr>
        <w:t>E. 2.1</w:t>
      </w:r>
    </w:p>
    <w:p>
      <w:r>
        <w:t>Les recourantes reprochent à la procureure d’avoir outrepassé ses prérogatives en procédant elle-même à l’appréciation des témoignages en violation du principe « in dubio pro duriore ».</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2.3</w:t>
      </w:r>
    </w:p>
    <w:p>
      <w:r>
        <w:t>En l’espèce, il faut en premier lieu relever que le même prévenu est mis en cause pour avoir commis des actes à caractère sexuel sur deux femmes fragiles psychiquement qui ne se connaissent pas, ceci à un peu plus d’une année d’intervalle.</w:t>
      </w:r>
    </w:p>
    <w:p>
      <w:r>
        <w:rPr>
          <w:b/>
        </w:rPr>
        <w:t>E. 2.4</w:t>
      </w:r>
    </w:p>
    <w:p>
      <w:r>
        <w:t>En ce qui concerne Q.________, on ne peut en l’état dénier toute crédibilité à ses déclarations. Compte tenu de sa fragilité psychique et des sentiments éprouvés pour le prévenu, son comportement en présence de l’intéressé ainsi que les propos tenus devant l’infirmière W.________ doivent être relativisés. En effet, il n’est pas rare qu’une victime ait tendance dans un premier temps à minimiser les faits. De plus, en l’espèce, la recourante était très proche du prévenu et il n’est pas totalement surprenant qu’elle n’ait pas été en mesure de l’accuser immédiatement, cela d’autant moins que le règlement du foyer était très strict s’agissant des rapports sexuels entre pensionnaires. On peut dès lors concevoir que la recourante ait d’abord eu le réflexe de « donner le change » lorsque l’infirmière leur avait intimé l’ordre d’ouvrir la porte de la chambre, afin de démontrer que les règles de l’établissement avaient été respectées.</w:t>
      </w:r>
    </w:p>
    <w:p>
      <w:r>
        <w:rPr>
          <w:b/>
        </w:rPr>
        <w:t>E. 3</w:t>
      </w:r>
    </w:p>
    <w:p>
      <w:r>
        <w:t>S’agissant des réquisitions de preuve écartées par le Ministère public, on ne peut pas davantage nier leur utilité au vu des incertitudes qui subsistent. C’est précisément dans ce genre d’affaire, où les infractions en cause se commettent généralement à huis clos, que chaque détail compte. Il convient ainsi de ne pas se montrer trop restrictif à l’égard des moyens de preuve dont la pertinence ne peut d’emblée être exclue. Or, précisément, les auditions requises par les recourantes sont susceptibles d’apporter un éclairage utile sur l’état dans lequel elles se trouvaient après les faits. Quant aux recherches d’empreintes sur les bouteilles de vin et le flacon d’huile de massage, leur mise en œuvre se justifie uniquement pour ledit flacon, dès lors que l’usage éventuel de ce dernier par l’intimé serait susceptible d’avoir une incidence sur la détermination de son comportement lors de la phase cruciale des faits et également sur l’appréciation de la crédibilité des parties, leurs déclarations étant contradictoires concernant l’utilisation de cette huile de massage. On ne voit en revanche pas en quoi des recherches d’empreintes sur les bouteilles de vin pourraient apporter des éléments utiles à l’enquête et, sur ce point, la décision de rejet de la Procureure échappe à la critique.</w:t>
      </w:r>
    </w:p>
    <w:p>
      <w:r>
        <w:rPr>
          <w:b/>
        </w:rPr>
        <w:t>E. 4</w:t>
      </w:r>
    </w:p>
    <w:p>
      <w:r>
        <w:t>En résumé, force est de constater qu’il subsiste un doute important qui, en l’état, ne permet pas de considérer un acquittement comme plus vraisemblable qu’une condamnation. Au surplus, l’enquête apparaît incomplète. Il appartiendra au Ministère public de donner partiellement suite aux réquisitions présentées par les recourantes dans la mesure indiquée au considérant 3 ci-dessus. En fonction des résultats de ces mesures d’instruction, la procureure décidera s’il y a lieu de prononcer une mise en accusation.</w:t>
      </w:r>
    </w:p>
    <w:p>
      <w:r>
        <w:rPr>
          <w:b/>
        </w:rPr>
        <w:t>E. 5</w:t>
      </w:r>
    </w:p>
    <w:p>
      <w:r>
        <w:t>En définitive, le recours doit être admis et l’ordonnance de classement du 26 mars 2015 annulée, le dossier de la cause étant renvoyé au Ministère public de l’arrondissement de Lausanne pour qu’il procède dans le sens des considérants. Les frais de la procédure de recours, constitués en l'espèce de l'émolument d'arrêt, par 990 fr. (art. 20 al. 1 TFIP [Tarif des frais de procédure et indemnités en matière pénale du 28 septembre 2010; RSV 312.03.1]), ainsi que les frais imputables à l’assistance d’un conseil juridique gratuit de D.________ et Q.________ (art. 422 al. 1 et 2 let. a CPP), fixés à 630 fr. plus la TVA par 50 fr. 40, soit 680 fr. 40 au total, seront laissés à la charge l’Etat (art. 428 al. 4 CPP). S’agissant des dépens réclamés par les recourantes, il appartiendra le cas échéant à ces dernières d’adresser à la fin de la procédure – pour autant que les conditions d’une indemnité selon l’art. 433 al. 1 CPP soient alors remplies – leurs prétentions à l’autorité pénale compétente selon l’art. 433 al. 2 CPP (CREP 16 avril 2013/279 c. 4 et les références citées). Par ces motifs, la Chambre des recours pénale prononce : I. Le recours est admis. II. L’ordonnance de classement du 26 mars 2015 est annulée. III. Le dossier de la cause est renvoyé au Ministère public de l’arrondissement de Lausanne pour qu’il procède dans le sens des considérants. IV. L’indemnité allouée au conseil juridique gratuit de D.________ et de Q.________ est fixée à 680 fr. 40 (six cent huitante francs et quarante centimes). V. Les frais d’arrêt, par 990 fr. (neuf cent nonante francs), ainsi que l’indemnité du conseil juridique gratuit des recourantes, par 680 fr. 40 (six cent huitante francs et quarante centimes), sont laissés à la charge de l’Etat. VI. Le présent arrêt est exécutoire. Le président :               La greffière : Du Le présent arrêt, dont la rédaction a été approuvée à huis clos, est notifié, par l'envoi d'une copie complète, à : - Mme Coralie Germond, avocate (pour D.________ et Q.________) - Mme Anne-Luce Julsaint Buonomo, avocate (pour V.________)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