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501 vom 23. Juni 2015</w:t>
      </w:r>
    </w:p>
    <w:p>
      <w:r>
        <w:t>VD Tribunal cantonal, 2015-06-23, FR</w:t>
      </w:r>
    </w:p>
    <w:p>
      <w:r>
        <w:rPr>
          <w:b/>
        </w:rPr>
        <w:t xml:space="preserve">Quelle: </w:t>
      </w:r>
      <w:r>
        <w:t>https://mcp.opencaselaw.ch/entscheid/vd_findinfo_D_cision___2015___501</w:t>
      </w:r>
    </w:p>
    <w:p>
      <w:r>
        <w:t>FR: VD_FINDINFO Décision / 2015 / 501 du 23 juin 2015</w:t>
      </w:r>
    </w:p>
    <w:p>
      <w:r>
        <w:t>IT: VD_FINDINFO Décision / 2015 / 501 del 23 giugno 2015</w:t>
      </w:r>
    </w:p>
    <w:p>
      <w:pPr>
        <w:pStyle w:val="Heading2"/>
      </w:pPr>
      <w:r>
        <w:t>Regeste</w:t>
      </w:r>
    </w:p>
    <w:p>
      <w:r>
        <w:t>DÉCISION D'IRRECEVABILITÉ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Le recourant estime que les éléments constitutifs des infractions d’escroquerie et de faux dans les titres seraient réalisés.</w:t>
      </w:r>
    </w:p>
    <w:p>
      <w:r>
        <w:rPr>
          <w:b/>
        </w:rPr>
        <w:t>E. 3.1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Un édifice de mensonges, pour être astucieux, n'est réalisé que si les mensonges sont l'expression d'une rouerie particulière et se recoupent de manière si subtile que même une victime faisant preuve d'esprit critique se serait laissé tromper (ATF 119 IV 28 c. 3c; Dupuis et al. [éd.], op. cit., n. 12 ad art. 146 CP, p. 833; CREP 18 janvier 2013/49 c. 2 op. cit.).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3.2</w:t>
      </w:r>
    </w:p>
    <w:p>
      <w:r>
        <w:t>En l’espèce, le Ministère public a retenu que la plainte déposée par le recourant avait en réalité pour objet un conflit d’ordre civil, ce qui avait d’ailleurs été relevé par l’Association Romande des Intermédiaires Financiers que I.________ avait consultée en septembre 2014 (P. 14/3), l’entité qui devait être créée en Suisse ayant pour finalité d’exploiter une invention de I.________ en relation avec l’optimisation de la consommation d’énergies fossiles. Le Procureur a en outre relevé que la société Q.________ SA avait été fondée le 21 janvier 2011, soit un peu plus de deux mois après que le recourant se fut rendu auprès d’un notaire en Roumanie pour établir une procuration en faveur de L.________ à cette fin, de sorte que la concrétisation de la volonté des parties avait suivi de peu sa formation et que l’on ne saurait prétendre que la création de Q.________ SA serait contraire aux vœux du recourant. Il a constaté que les soupçons du recourant s’agissant de prétendues activités illégales auxquelles serait mêlée Q.________ SA n’étaient étayés par aucun élément concret ni aucune pièce du dossier, les pièces comptables fournies par L.________ contredisant les affirmations du recourant. Enfin, le Procureur a relevé qu’en l’absence de préjudice subi par le recourant, ce dernier étant devenu actionnaire à hauteur de 40% de Q.________ SA sans bourse délier, l’infraction d’escroquerie n’était pas réalisée. Il en allait de même s’agissant de l’infraction de faux dans les titres, en l’absence de volonté de nuire au recourant dans l’utilisation de la procuration datée du 2 novembre 2010 en faveur de L.________ – et dont le recourant conteste l’authenticité – en vue de créer la société Q.________ SA. Cette appréciation des faits, complète et convaincante, ne prête pas le flanc à la critique et doit être confirmée. En effet, le recourant ne fait que réaffirmer des faits sans apporter la preuve de ses déclarations. Il ne démontre pas non plus en quoi l’analyse juridique du procureur serait erronée. Il lui incombe d’agir par la voie civile s’il souhaite obtenir des informations sur la société ou sortir de celle-ci. Au vu de ce qui précède, les éléments constitutifs d’une infraction pénale ne sont manifestement pas réunis. En outre, aucune mesure d’instruction complémentaire ne permettrait d’aboutir à une appréciation différente. C’est donc à bon droit que le procureur a refusé d’entrer en matière sur la plainte pénale d’I.________.</w:t>
      </w:r>
    </w:p>
    <w:p>
      <w:r>
        <w:rPr>
          <w:b/>
        </w:rPr>
        <w:t>E. 4</w:t>
      </w:r>
    </w:p>
    <w:p>
      <w:r>
        <w:t>En définitive, le recours, manifestement mal fondé, doit être rejeté sans autres échanges d’écritures (art. 390 al. 2 CPP) et l'ordonnance attaquée confirmée. Les frais de la procédure de recours, constitués du seul émolument d’arrêt, par 880 fr. (art. 20 al. 1 TFIP [Tarif des frais de procédure et indemnités en matière pénale du 28 septembre 2010 ; RSV 312.03.1]), seront mis à la charge du recourant, qui succombe (art. 428 al. 1 CPP). Le montant de 538 fr. déjà versé par le recourant à titre de sûretés sera imputé sur les frais mis à sa charge (art. 7 TFIP). Par ces motifs, la Chambre des recours pénale prononce : I. Le recours est rejeté. II. L'ordonnance du 3 mars 2015 est confirmée. III. Les frais de la procédure de recours, par 880 fr. (huit cent huitante francs), sont mis à la charge de I.________. IV. Le montant de 538 fr. (cinq cent trente-huit francs) déjà versé par le recourant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I.________,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