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500 vom 29. Juni 2015</w:t>
      </w:r>
    </w:p>
    <w:p>
      <w:r>
        <w:t>VD Tribunal cantonal, 2015-06-29, FR</w:t>
      </w:r>
    </w:p>
    <w:p>
      <w:r>
        <w:rPr>
          <w:b/>
        </w:rPr>
        <w:t xml:space="preserve">Quelle: </w:t>
      </w:r>
      <w:r>
        <w:t>https://mcp.opencaselaw.ch/entscheid/vd_findinfo_D_cision___2015___500</w:t>
      </w:r>
    </w:p>
    <w:p>
      <w:r>
        <w:t>FR: VD_FINDINFO Décision / 2015 / 500 du 29 juin 2015</w:t>
      </w:r>
    </w:p>
    <w:p>
      <w:r>
        <w:t>IT: VD_FINDINFO Décision / 2015 / 500 del 29 giugno 2015</w:t>
      </w:r>
    </w:p>
    <w:p>
      <w:pPr>
        <w:pStyle w:val="Heading2"/>
      </w:pPr>
      <w:r>
        <w:t>Regeste</w:t>
      </w:r>
    </w:p>
    <w:p>
      <w:r>
        <w:t>LIBÉRATION CONDITIONNELLE, PRONOSTIC, RÉCLUSION, À VIE, ASSASSINAT, VIOL, INCESTE | 86 CP, 26 LEP, 38 LEP</w:t>
      </w:r>
    </w:p>
    <w:p>
      <w:pPr>
        <w:pStyle w:val="Heading2"/>
      </w:pPr>
      <w:r>
        <w:t>Erwägungen</w:t>
      </w:r>
    </w:p>
    <w:p>
      <w:r>
        <w:rPr>
          <w:b/>
        </w:rPr>
        <w:t>E. 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2.1</w:t>
      </w:r>
    </w:p>
    <w:p>
      <w:r>
        <w:t>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cas de condamnation à vie, la libération conditionnelle peut intervenir au plus tôt après quinze ans (art. 86 al. 5 CP).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w:t>
      </w:r>
    </w:p>
    <w:p>
      <w:r>
        <w:rPr>
          <w:b/>
        </w:rPr>
        <w:t>E. 2.2</w:t>
      </w:r>
    </w:p>
    <w:p>
      <w:r>
        <w:t>En l’espèce, la condition objective de l’exécution de quinze ans de détention prévue par l'art. 86 al. 5 CP est réalisée depuis le 29 mai 2015. Il en va de même de la condition du bon comportement en détention, les pièces figurant au dossier faisant état d’une attitude irréprochable du recourant. Reste à examiner la question du pronostic à poser en vertu de l'art. 86 al. 1 CP.</w:t>
      </w:r>
    </w:p>
    <w:p>
      <w:r>
        <w:rPr>
          <w:b/>
        </w:rPr>
        <w:t>E. 2.3</w:t>
      </w:r>
    </w:p>
    <w:p>
      <w:r>
        <w:t>A cet égard, la Cour de céans ne peut, tout d’abord, que constater l’extrême gravité des actes commis par T.________. S’agissant de l’homicide, les juges avaient retenu que le prénommé avait « littéralement massacré » sa compagne, mère de deux de ses enfants, pour un motif, si ce n’est futile, du moins inconsistant, après avoir, durant des années, par son autoritarisme démesuré et sa violence, fait vivre un enfer à la victime et exercé une véritable tyrannie sur sa famille ; puis, durant plusieurs années, il a laissé l’espoir à ses enfants, en proférant d’odieux mensonges, que leur mère était vivante, tout en la dénigrant copieusement. En ce qui concerne les multiples viols commis par T.________ sur sa fille [...], les actes parlent d’eux-mêmes, tant les souffrances morales et l’atteinte à la person-nalité de la victime paraissent évidentes et durables. Il s’impose une prudence particulière pour le pronostic à poser, la gravité des crimes commis étant de nature à admettre plus largement le risque de récidive. En effet, si la nature des délits n’est pas déterminante dans cet examen, l’importance des biens juridiques mis en danger et les circonstances dans lesquelles l'auteur a encouru la sanction pénale sont, quant à elles, pertinentes, dans la mesure où elles sont révélatrices de sa personnalité et donnent certaines indications sur son comportement probable en liberté (TF 6B_833/2013 du 3 décembre 2013 c. 2.1 et les références citées). Or les biens juridiques ici en cause sont hautement importants et ont été gravement atteints par les agissements du condamné. La manière dont il a perpétré ses infractions témoigne d’un mépris certain pour la vie, l’intégrité physique et l’intégrité sexuelle d’autrui. S’agissant du risque de récidive, le rapport d’expertise du 7 décembre 2012 indiquait que la réitération d’actes de violence, y compris à caractère sexuel, ne pouvait être exclue ; les experts étaient d’avis que le risque se présentait principale-ment dans le cadre des relations de T.________ avec les femmes, essentiellement dans un contexte domestique ; le risque d’agression sexuelle incestueux était jugé faible, dans la mesure où les filles de T.________ sont aujourd’hui adultes et que le prénommé ne présente pas de problématique de nature pédophilique. Dans son rapport d’évaluation criminologique du 10 janvier 2014, confirmé le 15 décembre 2014, la Direction des EPO a estimé que si le risque de récidive d’infractions contre la vie et l’intégrité sexuelle était faible, le risque de passage à l’acte violent, notam-ment dans le cadre intrafamilial, persistait ; elle a conclu à « un risque moyen de récidive générale, c’est-à-dire pour tous délits confondus (inceste, maltraitance, homicide) ». Enfin, dans son avis du 25 novembre 2014, la CIC a retenu un « risque de récidive encore évalué comme moyen ». Au vu de ces éléments, force est de constater que le recourant présente toujours un risque de dangerosité certain, principalement dans ses relations avec les femmes, surtout dans un contexte domestique. Ce constat exige, pour le pronostic à poser, une prudence d’autant plus grande qu’il est hautement probable qu’à sa sortie de prison, T.________ se retrouve en couple, éventuellement en famille, donc dans une situation à risque.</w:t>
      </w:r>
    </w:p>
    <w:p>
      <w:r>
        <w:rPr>
          <w:b/>
        </w:rPr>
        <w:t>E. 2.4</w:t>
      </w:r>
    </w:p>
    <w:p>
      <w:r>
        <w:t>A cela s’ajoute, et c’est également un point déterminant, que T.________ est peu perméable à l’introspection. L’ensemble des éléments du dossier convergent dans ce sens, en particulier le rapport d’expertise du 7 décembre 2012 et l’évaluation criminologique du 10 janvier 2014. Tous les intervenants ont constaté que T.________ avait de grandes difficultés à reconnaître avoir fait usage de violence lors de ses divers passages à l’acte, qu’il persistait à se présenter comme une victime et à inverser les rôles ; il continue, en particulier, à imputer la respon-sabilité de son geste fatal à sa victime, dont le supposé comportement serait à l’origine de sa jalousie et de son extrême violence. A cet égard, le Dr. [...] et le Professeur [...] ont relevé la rigidité des mécanismes de fonctionne-ment psychique de l’intéressé ; ils ont estimé, en 2012, que le processus thérapeu-tique n’en était qu’à ses débuts et qu’il méritait d’être poursuivi les prochaines années. L’avis émis à ce sujet par l’OEP le 19 janvier 2015 – selon lequel la poursuite de l’exécution de la peine n’amènerait aucune plus-value pour ce qui est de l’évolution du condamné – n’emporte pas la conviction de l’autorité de céans. Cet avis ne contredit pas seulement les préconisations des experts prénommés, mais va également à l’encontre des observations relatées par la Direction des EPO dans le rapport du 10 janvier 2004, qui fait état de « l’émergence d’un processus de réflexion » de  T.________ quant à la famille, sa dynamique et le rôle de chacun de ses membres.</w:t>
      </w:r>
    </w:p>
    <w:p>
      <w:r>
        <w:rPr>
          <w:b/>
        </w:rPr>
        <w:t>E. 2.5</w:t>
      </w:r>
    </w:p>
    <w:p>
      <w:r>
        <w:t>On observe également que depuis son incarcération, il y a quinze ans, T.________ n’a bénéficié que de cinq conduites. Ces quelques courtes sorties accompagnées – même si elles se sont parfaitement bien déroulées – ne permettent pas de conclure que le condamné soit prêt à reprendre la vie en liberté, dont il semble d’ailleurs ignorer les risques. Avec les premiers juges, la Cour de céans considère que, compte tenu des circonstances, des élargissements progressifs préalables à la libération conditionnelle sont nécessaires.</w:t>
      </w:r>
    </w:p>
    <w:p>
      <w:r>
        <w:rPr>
          <w:b/>
        </w:rPr>
        <w:t>E. 2.6</w:t>
      </w:r>
    </w:p>
    <w:p>
      <w:r>
        <w:t>Il découle des considérants qui précèdent qu’au vu du risque de récidive qui existe, de la gravité des infractions redoutées, et en l’absence d’intro-spection suffisante, un pronostic défavorable doit être posé quant au comportement futur du recourant. Son projet d’avenir, consistant à s’installer au Kosovo pour y créer un élevage de volaille sur un terrain familial – que la cour de céans estime crédible, contrairement à l’avis des premiers juges – n’est pas susceptible de renverser cette prévision. L’expulsion du recourant du territoire Suisse ne conduit pas non plus à une appréciation différente du risque de récidive. Ainsi, en présence d’un pronostic défavorable, la libération conditionnelle doit être refusée à T.________.</w:t>
      </w:r>
    </w:p>
    <w:p>
      <w:r>
        <w:rPr>
          <w:b/>
        </w:rPr>
        <w:t>E. 3</w:t>
      </w:r>
    </w:p>
    <w:p>
      <w:r>
        <w:t>En définitive, le recours doit être rejeté et la décision du 13 mai 2015 confirmée. Les frais de la procédure de recours, constitués en l’espèce de l’émolument d'arrêt, par 1'540 fr. (art. 20 al. 1 TFIP [tarif des frais de procédure et indemnités en matière pénale du 28 septembre 2010 ; RSV 312.03.1], et des frais imputables à la défense d’office (art. 422 al. 1 et 2 let. a CPP), fixés à 540 fr., plus 43 francs 20 de TVA, soit un total de 583 fr. 20,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prononce : I. Le recours est rejeté. II. La décision du 13 mai 2015 est confirmée. III. L'indemnité allouée au défenseur d'office de T.________ est fixée à 583 fr. 20 (cinq cent huitante-trois francs et vingt centimes). IV. Les frais d'arrêt, par 1'540 fr. (mille cinq cent quarante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Le présent arrêt est exécutoire. Le président :               La greffière : Du Le présent arrêt, dont la rédaction a été approuvée à huis clos, est notifié, par l'envoi d'une copie complète, à : - M. Jean Lob, avocat (pour T.________), - Ministère public central, et communiqué à : ‑ M. le Président du Collège des Juges d’application des peines, - Office d’exécution des peines (réf. : OEP/PPL/25916/AVI/VRI), -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