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50 vom 16. Dezember 2014</w:t>
      </w:r>
    </w:p>
    <w:p>
      <w:r>
        <w:t>VD Tribunal cantonal, 2014-12-16, FR</w:t>
      </w:r>
    </w:p>
    <w:p>
      <w:r>
        <w:rPr>
          <w:b/>
        </w:rPr>
        <w:t xml:space="preserve">Quelle: </w:t>
      </w:r>
      <w:r>
        <w:t>https://mcp.opencaselaw.ch/entscheid/vd_findinfo_D_cision___2015___50</w:t>
      </w:r>
    </w:p>
    <w:p>
      <w:r>
        <w:t>FR: VD_FINDINFO Décision / 2015 / 50 du 16 décembre 2014</w:t>
      </w:r>
    </w:p>
    <w:p>
      <w:r>
        <w:t>IT: VD_FINDINFO Décision / 2015 / 50 del 16 dicembre 2014</w:t>
      </w:r>
    </w:p>
    <w:p>
      <w:pPr>
        <w:pStyle w:val="Heading2"/>
      </w:pPr>
      <w:r>
        <w:t>Regeste</w:t>
      </w:r>
    </w:p>
    <w:p>
      <w:r>
        <w:t>CLASSEMENT DE LA PROCÉDURE, INJURE, ABUS D'AUTORITÉ, VIOLATION DU SECRET DE FONCTION{DROIT PÉNAL} | 177 CP, 31 CP, 312 CP, 320 CP, 310 CPP (CH)</w:t>
      </w:r>
    </w:p>
    <w:p>
      <w:pPr>
        <w:pStyle w:val="Heading2"/>
      </w:pPr>
      <w:r>
        <w:t>Erwägungen</w:t>
      </w:r>
    </w:p>
    <w:p>
      <w:r>
        <w:rPr>
          <w:b/>
        </w:rPr>
        <w:t>E. 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en temps utile auprès de l’autorité compétente, par le plaignant qui a qualité pour recourir (cf.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3</w:t>
      </w:r>
    </w:p>
    <w:p>
      <w:r>
        <w:t>ad art. 312 CP). Il y a abus lorsque l’auteur use d’une façon non permise de ses pouvoirs officiels, c’est-à-dire qu’en vertu de sa charge, il en dispose – avec effets obligatoires – en dépassant les limites de ce que ses pouvoirs lui permettent (ATF 127 IV c. 1b, JT 2003 IV 117). En l’espèce, on ne voit pas en quoi le fait de donner à un détenu pour traduction un document en allemand concernant le recourant et de ne pas répondre à l’une de ses lettres constituerait un abus de pouvoir au sens de l’art. 312 CP. De plus, aucune intention délictueuse ne peut être imputée à l’assistance sociale, laquelle, en cherchant à obtenir une traduction d’un courrier, dont on ignore d’ailleurs la teneur, a voulu rendre service. On peut donc également exclure que S.________ ait agi dans le dessein de se procurer un avantage illicite ou de nuire au recourant. Le recourant ne fournit au reste aucun élément en ce sens.</w:t>
      </w:r>
    </w:p>
    <w:p>
      <w:r>
        <w:rPr>
          <w:b/>
        </w:rPr>
        <w:t>E. 3.1</w:t>
      </w:r>
    </w:p>
    <w:p>
      <w:r>
        <w:t>Le recourant estime qu’en le traitant de « tête de mule »,  S.________ se serait rendue coupable d’injure. Cette infraction se poursuit sur plainte uniquement (art. 177 CP [Code pénal suisse ; RS 311.0]). Le droit de porter plainte se prescrit par trois mois à compter du jour où l’auteur a connu l’auteur de l’infraction (art. 31 CP). En l’occurrence, la plainte du 3 novembre 2014 est tardive, puisqu’elle a été déposée plus de trois mois après les faits, lesquels auraient eu lieu le 4 février 2014. De toute manière, l’atteinte à l’honneur que suppose l’injure n’est pas réalisée (Dupuis et al., Petit Commentaire du Code pénal, Bâle 2012, n. 7 ad art. 177 CP, p. 1035). En effet, l’expression litigieuse n’est pas de nature à exposer le recourant au mépris en sa qualité d’être humain, à le faire apparaître comme méprisable (Dupuis et al., op. cit., nn. 1-8 ad Rem. prél. aux art. 173 à 178 CP).</w:t>
      </w:r>
    </w:p>
    <w:p>
      <w:r>
        <w:rPr>
          <w:b/>
        </w:rPr>
        <w:t>E. 3.2</w:t>
      </w:r>
    </w:p>
    <w:p>
      <w:r>
        <w:t>Le recourant se plaint également d’être victime d’abus d’autorité (art. 312 CP). Aux termes l’art. 312 CP, se rendent coupables d'une telle infraction les membres d'une autorité et les fonctionnaires qui, dans le dessein de se procurer ou de procurer à un tiers un avantage illicite, ou dans le dessein de nuire à autrui, auront abusé des pouvoirs de leur charge. Cette disposition protège, d’une part, l'intérêt de l'Etat à disposer de fonctionnaires loyaux qui utilisent les pouvoirs qui leur ont été confiés en ayant conscience de leurs devoirs et, d’autre part, celui des citoyens à ne pas être exposés à un « déploiement de puissance étatique incontrôlé et arbitraire » (Dupuis et al., op. cit., n.</w:t>
      </w:r>
    </w:p>
    <w:p>
      <w:r>
        <w:rPr>
          <w:b/>
        </w:rPr>
        <w:t>E. 3.3</w:t>
      </w:r>
    </w:p>
    <w:p>
      <w:r>
        <w:t>Le recourant voit une violation du secret de fonction dans le fait d’avoir remis à un tiers un document le concernant. Se rend coupable de violation du secret de fonction, au sens de l'art. 320 CP, celui qui aura révélé un secret à lui confié en sa qualité de membre d’une autorité ou de fonctionnaire, ou dont il avait eu connaissance à raison de sa charge ou de son emploi, la révélation demeurant punissable alors même que la charge ou l’emploi a pris fin (ch. 1, al. 1 et 2). En l’espèce, les éléments constitutifs de cette infraction ne sont pas réalisés. En effet, le recourant ne fournit aucune indication qui laisserait supposer qu’un secret, au sens de l’art. 320 CP, ait été violé. En outre, on ne saurait prêter aucune intention dolosive à S.________, ainsi qu’il a été exposé au considérant 3.2 ci-dessus. Pour le surplus, les griefs du recourant relatifs à la manière dont cette assistante sociale exécute son travail ne relèvent manifestement pas du droit pénal.</w:t>
      </w:r>
    </w:p>
    <w:p>
      <w:r>
        <w:rPr>
          <w:b/>
        </w:rPr>
        <w:t>E. 3.4</w:t>
      </w:r>
    </w:p>
    <w:p>
      <w:r>
        <w:t>Les éléments constitutifs des infractions dénoncées n’étant à l’évidence pas réalisés, le procureur pouvait à bon droit rendre une ordonnance de non-entrée en matière.</w:t>
      </w:r>
    </w:p>
    <w:p>
      <w:r>
        <w:rPr>
          <w:b/>
        </w:rPr>
        <w:t>E. 4</w:t>
      </w:r>
    </w:p>
    <w:p>
      <w:r>
        <w:t>Il résulte de ce qui précède que le recours doit êre rejeté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14 novembre 2014 est confirmée. III. Les frais d’arrêt, par 550 fr. (cinq cent cinquante francs), sont mis à la charge de Q.________. IV. Le présent arrêt est exécutoire. Le président :               Le greffier : Du Le présent arrêt, dont la rédaction a été approuvée à huis clos, est notifié, par l'envoi d'une copie complète, à : - M.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