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 vom 30. Dezember 2014</w:t>
      </w:r>
    </w:p>
    <w:p>
      <w:r>
        <w:t>VD Tribunal cantonal, 2014-12-30, FR</w:t>
      </w:r>
    </w:p>
    <w:p>
      <w:r>
        <w:rPr>
          <w:b/>
        </w:rPr>
        <w:t xml:space="preserve">Quelle: </w:t>
      </w:r>
      <w:r>
        <w:t>https://mcp.opencaselaw.ch/entscheid/vd_findinfo_D_cision___2015___5</w:t>
      </w:r>
    </w:p>
    <w:p>
      <w:r>
        <w:t>FR: VD_FINDINFO Décision / 2015 / 5 du 30 décembre 2014</w:t>
      </w:r>
    </w:p>
    <w:p>
      <w:r>
        <w:t>IT: VD_FINDINFO Décision / 2015 / 5 del 30 dicembre 2014</w:t>
      </w:r>
    </w:p>
    <w:p>
      <w:pPr>
        <w:pStyle w:val="Heading2"/>
      </w:pPr>
      <w:r>
        <w:t>Regeste</w:t>
      </w:r>
    </w:p>
    <w:p>
      <w:r>
        <w:t>OPPOSITION TARDIVE, FICTION DE LA NOTIFICATION, ORDONNANCE DE CONDAMNATION | 354 CPP (CH), 393 al. 1 let. b CPP (CH), 88 al. 1 let. c CPP (CH), 88 al. 4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 e éd., Bâle 2014, n. 2 ad art. 356 CPP ; CREP 24 septembre 2014/695 ; CREP 27 janvier 2014/63).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w:t>
      </w:r>
    </w:p>
    <w:p>
      <w:r>
        <w:rPr>
          <w:b/>
        </w:rPr>
        <w:t>E. 2.3</w:t>
      </w:r>
    </w:p>
    <w:p>
      <w:r>
        <w:t>Dans le cas d’espèce, H.________, sans domicile fixe et séjournant illégalement en Suisse, n'a pas désigné une personne de confiance en Suisse pour recevoir à sa place toutes les correspondances relatives à l’enquête ouverte à son encontre. D’une part, il savait qu’il faisait l’objet d’une procédure pénale et devait s’attendre de ce fait à ce qu’une décision lui soit communiquée, puisqu’il a été auditionné tant par la police que par le procureur et qu’il a été détenu provisoirement durant sept jours. D’autre part, les formulaires qu’il a signés les 17 et 21 août 2012 ont expressément attiré son attention sur le fait qu’à défaut de domicile de notification en Suisse, une ordonnance pénale pouvait lui être valablement notifiée, même en l’absence de publication. La condition de l’art. 88 al. 1 let. c CPP est donc remplie, de sorte que la fiction de l'art. 88 al. 4 CPP s'applique dans le cas d’espèce. Partant, l'ordonnance pénale du 27 août 2013 a été valablement notifiée à H.________ et son opposition est tardive. Par surabondance, l’Office d’exécution des peines a communiqué à H.________ qu’il faisait l’objet de dite ordonnance pénale entre le 12 et le 13 août 2014 (P. 41). Son opposition postée le 11 décembre 2014 est ainsi dans tous les cas manifestement tardive. En dernier lieu, on relèvera que le recourant ne soulève aucun moyen relatif à la tardiveté de son opposition, mais plaide le fond. Dans la mesure où son opposition n'est pas valable, il ne peut pas remettre en cause l'ordonnance pénale à ce stade de la procédure.</w:t>
      </w:r>
    </w:p>
    <w:p>
      <w:r>
        <w:rPr>
          <w:b/>
        </w:rPr>
        <w:t>E. 3</w:t>
      </w:r>
    </w:p>
    <w:p>
      <w:r>
        <w:t>En définitive, le recours, manifestement mal fondé, doit être rejeté sans échange d’écritures (art. 390 al. 2 CPP). La requête tendant à la désignation d'un défenseur d'office pour la procédure de recours sera rejetée, car le recours était d’emblée dénué de chances de succès (CREP 28 janvier 2013/37 ; CREP 4 juillet 2014/445).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17 décembre 2014 est confirmé. III. La requête de désignation d'un défenseur d'office pour la procédure de recours est rejetée. IV. Les frais de la procédure de recours, par 660 fr. (six cent soixante francs), sont mis à la charge de H.________. V. Le présent arrêt est exécutoire. Le vice-président : La greffière : Du Le présent arrêt, dont la rédaction a été approuvée à huis clos, est notifié, par l'envoi d'une copie complète, à : - M. H.________, - Ministère public central, et communiqué à : - M. le Président du Tribunal de l’arrondissement de Lausanne, ‑ M. le Procureur de l’arrondissement de Lausanne,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