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496 vom 1. Juli 2015</w:t>
      </w:r>
    </w:p>
    <w:p>
      <w:r>
        <w:t>VD Tribunal cantonal, 2015-07-01, FR</w:t>
      </w:r>
    </w:p>
    <w:p>
      <w:r>
        <w:rPr>
          <w:b/>
        </w:rPr>
        <w:t xml:space="preserve">Quelle: </w:t>
      </w:r>
      <w:r>
        <w:t>https://mcp.opencaselaw.ch/entscheid/vd_findinfo_D_cision___2015___496</w:t>
      </w:r>
    </w:p>
    <w:p>
      <w:r>
        <w:t>FR: VD_FINDINFO Décision / 2015 / 496 du 1 juillet 2015</w:t>
      </w:r>
    </w:p>
    <w:p>
      <w:r>
        <w:t>IT: VD_FINDINFO Décision / 2015 / 496 del 1 luglio 2015</w:t>
      </w:r>
    </w:p>
    <w:p>
      <w:pPr>
        <w:pStyle w:val="Heading2"/>
      </w:pPr>
      <w:r>
        <w:t>Regeste</w:t>
      </w:r>
    </w:p>
    <w:p>
      <w:r>
        <w:t>DÉTENTION PROVISOIRE, LOI FÉDÉRALE SUR LA PROCÉDURE PÉNALE APPLICABLE AUX MINEURS, RISQUE DE RÉCIDIVE, PROPORTIONNALITÉ | 221 al. 1 let. c CPP (CH), 27 PPMin</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(cf., entre autres, en matière de détention provisoire de mineurs, CREP 8 avril 2011/86 c. 1 ; CREP 15 novembre 2011/478).</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w:t>
      </w:r>
    </w:p>
    <w:p>
      <w:r>
        <w:rPr>
          <w:b/>
        </w:rPr>
        <w:t>E. 2.2</w:t>
      </w:r>
    </w:p>
    <w:p>
      <w:r>
        <w:t>En l’espèce, le recourant est mis en cause pour avoir, de concert avec un comparse majeur, mis le feu en plusieurs endroits et à diverses reprises, en l’espace de quelque jours, occasionnant ainsi des dégâts. Le recourant a largement admis les faits lors des interrogatoires des 21 et 25 juin 2015 par le juge des mineurs et par la police. Il existe par conséquent des présomptions de culpabilité suffisantes contre le recourant, au sens de l’art. 221 al. 1 CPP, ce qu’il ne conteste pas.</w:t>
      </w:r>
    </w:p>
    <w:p>
      <w:r>
        <w:rPr>
          <w:b/>
        </w:rPr>
        <w:t>E. 3.1</w:t>
      </w:r>
    </w:p>
    <w:p>
      <w:r>
        <w:t>Le Tribunal des mesures de contrainte a ordonné la prolongation de la détention en raison du risque de collusion, sans se prononcer sur la question du risque de récidive, également invoqué dans sa demande par la Présidente du Tribunal des mineurs. Ce dernier motif de détention sera examiné d’abord, bien qu’il n’ait pas été explicitement retenu dans l’ordonnance attaquée. La Cour de céans, en effet, à l’instar du Tribunal des mesures de contrainte, examine la cause librement en fait et en droit (art. 393 al. 2 CPP ; CREP 21 mai 2014/353 c. 1 et les références citées).</w:t>
      </w:r>
    </w:p>
    <w:p>
      <w:r>
        <w:rPr>
          <w:b/>
        </w:rPr>
        <w:t>E. 3.2</w:t>
      </w:r>
    </w:p>
    <w:p>
      <w:r>
        <w:t>Le maintien en détention provisoire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w:t>
      </w:r>
    </w:p>
    <w:p>
      <w:r>
        <w:rPr>
          <w:b/>
        </w:rPr>
        <w:t>E. 3.3</w:t>
      </w:r>
    </w:p>
    <w:p>
      <w:r>
        <w:t>En l’espèce, la Présidente du Tribunal des mineurs a condamné B.________ le 4 septembre 2014 pour tentative de vol, dommages à la propriété et contravention à la LStup, à quatre demi-journées de prestations personnelles à effectuer sous forme de travail. Lors de son appréhension le 21 juin 2015 à 1 heure, le recourant était en sortie autorisée du Centre pour adolescents de Valmont, où il avait été placé depuis la fin du mois de février 2013 (cf. ordonnance pénale du 4 septembre 2014). Il a donc commis les actes en cause alors même qu’il séjournait dans une institution offrant un cadre adapté à ses besoins, avec des limites et des repères clairs. Ces actes sont graves, car ils créent un danger élevé pour la collectivité. L’infraction d’incendie intentionnel, au sens de l’art. 221 CP, est par ailleurs un crime (art. 10 al. 2 CP). Lors de l’audience devant le Tribunal des mesures de contrainte, l’intéressé a indiqué, malgré ce qu’il avait déclaré lors de son interrogatoire de police (P. 404, p. 4 R. 7), qu’il n’avait pas réellement conscience du danger que son comportement faisait courir à des tiers. Il a expliqué qu’il avait agi de la sorte parce qu’ils avaient « besoin d’exprimer [leur] révolte », de « faire quelque chose qui [les] calmerait », de montrer qu’ils voulaient « foutre la merde ». L’impulsivité du recourant et l’incertitude quant à sa réelle prise de conscience de la gravité de ses actes font craindre qu’il réitère de nouveaux actes susceptibles de compromettre sérieusement la sécurité d’autrui. Le risque de récidive est donc concret et s’oppose à la mise en liberté du recourant. Les risques fondant la détention provisoire étant des motifs alternatifs, la question de l’existence d’un éventuel risque de collusion peut demeurer indécise, dès lors que la détention est justifiée par le risque de réitération (cf. CREP 14 avril 2015/249 c. 2.3.3).</w:t>
      </w:r>
    </w:p>
    <w:p>
      <w:r>
        <w:rPr>
          <w:b/>
        </w:rPr>
        <w:t>E. 4.1</w:t>
      </w:r>
    </w:p>
    <w:p>
      <w:r>
        <w:t>Le recourant requiert, à titre de mesure de substitution, qu’en lieu et place de la détention provisoire à l’Etablissement de détention pour mineurs « Aux Léchaires », il soit ordonné un placement, sans autorisation de sortie et pour une durée maximale de deux semaines, au Centre communal pour adolescents de Valmont.</w:t>
      </w:r>
    </w:p>
    <w:p>
      <w:r>
        <w:rPr>
          <w:b/>
        </w:rPr>
        <w:t>E. 4.2</w:t>
      </w:r>
    </w:p>
    <w:p>
      <w:r>
        <w:t>Les mesures de contrainte entraînant une  privation de liberté doivent être levées dès que des mesures de substitution pemettent d’atteindre le même but (art. 212 al. 2 let. c CPP). Le tribunal compétent ordonne une ou plusieurs mesures moins sévères en lieu et place de la détention provisoire si ces mesures permettent d’atteindre le même but (art. 237 al. 1 CPP). L’art. 237 al. 2 fournit une liste non exhaustive de telles mesures de substitution. S’agissant d’un mineur, la détention provisoire n’est prononcée qu’à titre exceptionnel et seulement si aucune mesure de substitution n’est envisageable (art. 27 al. 1 PPMin [Procédure pénale applicable aux mineurs du 20 mars 2009 ; RS 312.1]).</w:t>
      </w:r>
    </w:p>
    <w:p>
      <w:r>
        <w:rPr>
          <w:b/>
        </w:rPr>
        <w:t>E. 4.3</w:t>
      </w:r>
    </w:p>
    <w:p>
      <w:r>
        <w:t>Le Centre pour adolescents de Valmont a pour vocation de protéger une frange de mineurs dont le développement est mis en danger par leur propre comportement ou par leur situation personnelle. La détention provisoire du recourant, motivée par le risque de récidive, est dictée par un impératif de sécurité. Or il est douteux que le centre pricéit, même si le recourant y résidait sans être autorisé à en sortir, puisse offrir de telles garanties de sécurité. Telle n’est pas sa mission. En admettant même que tel soit le cas, le séjour sans sortie possible du recourant dans ledit centre n’apparaîtrait pas comme une mesure significativement moins sévère que la détention dans un établissement de détention pour mineurs, qui assure également une prise en charge à caractère socio-éducatif. Pour ces raisons, la conclusion subsidiaire du recours doit être rejetée.</w:t>
      </w:r>
    </w:p>
    <w:p>
      <w:r>
        <w:rPr>
          <w:b/>
        </w:rPr>
        <w:t>E. 5</w:t>
      </w:r>
    </w:p>
    <w:p>
      <w:r>
        <w:t>En définitive, le recours doit être rejeté sans autre échange d’écritures (art. 390 al. 2 CPP) et l'ordonnance du 27 juin 2015 confirmée. L’indemnité due au défenseur d’office du recourant sera fixée à 630 fr., plus la TVA, par 50 fr. 40, ce qui porte le montant alloué à 680 fr. 40. Les frais de la procédure de recours, constitués en l'espèce de l'émolument d’arrêt, par 330 fr. (art. 20 al. 2 TFIP  [Tarif des frais de procédure et indemnités en matière pénale du 28 septembre 2010; RSV 312.03.1]), et des frais imputables à la défense d’office (art. 422 al. 1 et al. 2 let. a CPP), par 680 fr. 40,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27 juin 2015 est confirmée. III. L’indemnité due au défenseur d’office de B.________ est fixée à 680 fr. 40 (six cent huitante francs et quarante centimes). IV. Les frais d’arrêt, par 330 fr. (trois cent trente francs), ainsi que l’indemnité due au défenseur d’office de B.________, par 680 fr. 40 (six cent huitante francs et quarante centimes), sont mis à la charge de B.________. V. Le remboursement à l’Etat de l’indemnité allouée au chiffre III ci-dessus sera exigible pour autant que la situation économique de B.________ se soit améliorée. VI. Le présent arrêt est exécutoire. Le président :               Le greffier : Du Le présent arrêt, dont la rédaction a été approuvée à huis clos, est notifié, par l'envoi d'une copie complète, à : - M. Stéphane Ducret, avocat (pour B.________), - M. Jean-Marc Knobel (pour B.________), - M. B.________,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