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495 vom 1. Juli 2015</w:t>
      </w:r>
    </w:p>
    <w:p>
      <w:r>
        <w:t>VD Tribunal cantonal, 2015-07-01, FR</w:t>
      </w:r>
    </w:p>
    <w:p>
      <w:r>
        <w:rPr>
          <w:b/>
        </w:rPr>
        <w:t xml:space="preserve">Quelle: </w:t>
      </w:r>
      <w:r>
        <w:t>https://mcp.opencaselaw.ch/entscheid/vd_findinfo_D_cision___2015___495</w:t>
      </w:r>
    </w:p>
    <w:p>
      <w:r>
        <w:t>FR: VD_FINDINFO Décision / 2015 / 495 du 1 juillet 2015</w:t>
      </w:r>
    </w:p>
    <w:p>
      <w:r>
        <w:t>IT: VD_FINDINFO Décision / 2015 / 495 del 1 luglio 2015</w:t>
      </w:r>
    </w:p>
    <w:p>
      <w:pPr>
        <w:pStyle w:val="Heading2"/>
      </w:pPr>
      <w:r>
        <w:t>Regeste</w:t>
      </w:r>
    </w:p>
    <w:p>
      <w:r>
        <w:t>DÉTENTION POUR DES MOTIFS DE SÛRETÉ, SOUPÇON, RISQUE DE FUITE | 221 al. 1 let. a CPP (CH), 393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pour des motifs de sûreté (CREP 16 juin 2015/402 ; CREP 13 avril 2015/242 ; CREP 12 février 2015/117). Ce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 RS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Le recourant conteste tout d’abord l’existence de soupçons suffisants de culpabilité.</w:t>
      </w:r>
    </w:p>
    <w:p>
      <w:r>
        <w:rPr>
          <w:b/>
        </w:rPr>
        <w:t>E. 2.2</w:t>
      </w:r>
    </w:p>
    <w:p>
      <w:r>
        <w:t>Selon l’art. 221 al. 1 CPP, la détention pour des motifs de sûreté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avant jugement ne doit pas durer plus longtemps que la peine privative de liberté prévisible (art. 212 al. 3 CPP). A l’instar de la mise en détention provisoire, le placement en détention pour des motifs de sûreté n’est possible que s’il existe à l’égard de l’auteur présumé, et préalablement à toute autre cause, de graves soupçons de culpabilité d’avoir commis un crime ou un délit (ATF 139 IV 186 c. 2 ; Schmocker, in : Kuhn/ Jeanneret [éd.], Commentaire romand, Code de procédure pénale suisse, Bâle 2011, nn. 7 ss ad art. 221 CPP).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 A cet égard, il n’appartient cependant pas au juge de la détention de procéder à une pesée complète des éléments à charge et à décharge et d’apprécier la crédibilité des personnes qui mettent en cause le prévenu ; il doit uniquement examiner, au degré de la vraisemblance, s’il existe des indices sérieux de culpabilité justifiant une telle mesure (TF 1B_176/2015 du 2 juin 2015 c. 5.1 ; CREP 24 juin 2015/426 c. 2.1 et les références citées).</w:t>
      </w:r>
    </w:p>
    <w:p>
      <w:r>
        <w:rPr>
          <w:b/>
        </w:rPr>
        <w:t>E. 2.3</w:t>
      </w:r>
    </w:p>
    <w:p>
      <w:r>
        <w:t>En l’espèce, la Cour de céans se réfère dans leur intégralité aux considérants qu'elle a développés dans son arrêt du 16 avril 2015, qui conservent leur pertinence. Ce procédé est admissible au regard des exigences du droit d’être entendu (TF 1B_149/2010 du 1 er juin 2010 c. 1.3 ; CREP 23 octobre 2012/634). A cet égard, malgré ses dénégations, il ressort du dossier qu’en sus d’avoir séjourné illicitement en Suisse, le recourant est fortement soupçonné d’avoir participé à un trafic d’héroïne organisé en bande, ainsi que d’avoir vendu une quantité équivalant à 14.26 grammes purs de cette drogue. La méthode utilisée en l’occurrence par les trafiquants consistait en ce que le toxicomane qui désirait se procurer de l’héroïne composait un numéro de téléphone, l’interlocuteur le dirigeant ensuite vers les vendeurs de rue qui recevaient alors la mission d’aller récupérer la marchandise et de la remettre à l’acheteur. Lors de son interpellation par la police, E.________ disposait du raccordement [...], raccordement que les toxicomanes de la région lausannoise appelaient en particulier pour acheter de l’héroïne. L’enquête a en outre mis en évidence qu’un duo de trafiquants, [...] et [...], travaillaient avec un troisième homme qui avait été photographié le 18 juillet 2012 au [...] ; le contrôle rétroactif du raccordement [...] permettait également de démontrer que son utilisateur se trouvait au parc susmentionné à la date de la photographie. Or le recourant a confirmé être la personne photographiée le 18 juillet 2012 et a admis connaître [...] et savoir que celui-ci vendait de l’héroïne. A ces éléments s’ajoute encore le fait qu’il a été mis en cause par plusieurs toxicomanes (cf. rapport de police du 4 mai 2015). Dans cette mesure, les éléments avancés par le recourant ne sont aucunement de nature à écarter les forts soupçons qui pèsent à son encontre. E.________ fait en effet valoir qu’il aurait prêté le téléphone portable – dont il disposait lors de son interpellation et dont l’abonnement avait été contracté par un tiers – à des tiers à de multiples reprises, sans qu’il se souvienne toutefois à qui, notamment durant les mois de juillet-août 2012. En réalité, se trouver en possession d’un téléphone portable utilisé par des revendeurs de drogue, alors même que l’on a déjà été condamné en 2011 pour avoir vendu de l’héroïne, et ensuite prêter fréquemment ledit téléphone à des inconnus est une attitude guère prudente pour quelqu’un qui prétend n’avoir rien à voir avec un trafic de stupéfiants. Il faut admettre au contraire que seules des personnes impliquées dans un tel trafic adoptent en général ce genre de comportement. Il peut d’ailleurs être relevé que le recourant s’est trouvé au [...] le 18 juillet 2012 à l’instar de l’utilisateur du raccordement [...]. Pour le reste, qu’E.________ parle ou non le français nécessite une instruction qui aura lieu devant le juge du fond, de sorte que cet argument n’est pas pertinent à ce stade. Enfin, le recourant ne peut rien déduire à ce stade également du rejet par le Procureur de la confrontation avec les trois toxicomanes l’ayant mis en cause, étant précisé que ce rejet a été motivé par le fait que les mises en cause ne reposaient pas seulement sur une reconnaissance visuelle, mais également sur des éléments techniques (cf. acte d’accusation du 9 juin 2015, sous « réquisitions des parties »). Il lui appartiendra plutôt de faire valoir ses moyens devant le Tribunal correctionnel. Ainsi, l'ensemble des éléments qui viennent d’être exposés constitue un faisceau d'indices suffisant faisant en l’état peser sur E.________ de forts et sérieux soupçons qui justifient son maintien en détention, étant encore rappelé que le juge de la détention doit se limiter à une appréciation sommaire des éléments au dossier.</w:t>
      </w:r>
    </w:p>
    <w:p>
      <w:r>
        <w:rPr>
          <w:b/>
        </w:rPr>
        <w:t>E. 3.1</w:t>
      </w:r>
    </w:p>
    <w:p>
      <w:r>
        <w:t>Le recourant conteste ensuite l'existence de risques fondant la détention. Le Tribunal des mesures de contrainte a retenu l'existence d'un risque de fuite (art. 221 al. 1 let. a CPP).</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(ATF 138 IV 81 c. 3.1 non publié ; TF 1B_145/2012 du 19 avril 2012 c. 3.1 et les références citées).</w:t>
      </w:r>
    </w:p>
    <w:p>
      <w:r>
        <w:rPr>
          <w:b/>
        </w:rPr>
        <w:t>E. 3.3</w:t>
      </w:r>
    </w:p>
    <w:p>
      <w:r>
        <w:t>En l’espèce, la situation n'ayant pas évolué sur ce point depuis l’arrêt du 16 avril 2015 de la Cour de céans, il peut également être renvoyé aux considérants de celui-ci. On se bornera à rappeler ici que le recourant est de nationalité étrangère, qu’il n’a aucun titre de séjour, aucun domicile en Suisse et qu’il ne dispose d’aucune attache particulière avec ce pays. Ainsi, au vu des éléments précités, de même que des faits qui lui sont reprochés et de la peine qu’il encourrait en cas de condamnation, étant rappelé que l’intéressé est prévenu d’infraction grave à la LStup notamment, il y a tout lieu de craindre qu’en cas de remise en liberté, E.________ ne cherche à se soustraire aux poursuites engagées contre lui en disparaissant dans la clandestinité. Le risque de fuite est donc très élevé et il justifie la mise en détention pour des motifs de sûreté du recourant.</w:t>
      </w:r>
    </w:p>
    <w:p>
      <w:r>
        <w:rPr>
          <w:b/>
        </w:rPr>
        <w:t>E. 3.4</w:t>
      </w:r>
    </w:p>
    <w:p>
      <w:r>
        <w:t>La détention pour des motifs de sûreté étant justifiée par le seul risque de fuite, il n'est pas nécessaire d’examiner l'existence d’autres risques (TF 1B_249/2011 du 7 juin 2011 c. 2.4), contestés par le recourant à l’appui de son recours, mais pas examinés par le Tribunal des mesures de contrainte.</w:t>
      </w:r>
    </w:p>
    <w:p>
      <w:r>
        <w:rPr>
          <w:b/>
        </w:rPr>
        <w:t>E. 4</w:t>
      </w:r>
    </w:p>
    <w:p>
      <w:r>
        <w:t>Au vu des considérants qui précèdent, aucune mesure de substitution (cf. art. 237 CPP) ne saurait entrer en considération afin de prévenir efficacement le risque de fuite. Le fait d’être prêt à collaborer et à se tenir à l’entière disposition de la justice ne représente de loin pas une garantie suffisante pour pallier ce risque. Il en va de même de la proposition de déposer ses papiers, qui n’est pas une mesure de nature à empêcher une personne de s'enfuir à l'étranger ou de disparaître dans la clandestinité en ce sens qu’il est aisé de franchir les frontières sans documents d’identité (cf. Moreillon/Parein-Reymond, Petit Commentaire du Code de procédure pénale, Bâle 2013, n. 18 ad art. 237 CPP).</w:t>
      </w:r>
    </w:p>
    <w:p>
      <w:r>
        <w:rPr>
          <w:b/>
        </w:rPr>
        <w:t>E. 5</w:t>
      </w:r>
    </w:p>
    <w:p>
      <w:r>
        <w:t>Concernant le principe de la proportionnalité de la détention avant jugement (cf. art. 212 al. 3 CPP), celui-ci doit être examiné au regard de l’ensemble des circonstances concrètes du cas d’espèce (ATF 133 I 168 c. 4.1 et les arrêts cités). A cet égard, il est admis que le juge peut maintenir cette détention aussi longtemps qu’elle n’est pas très proche de la durée de la peine privative de liberté à laquelle il faut s’attendre concrètement en cas de condamnation (TF 1B_411/2011 du 31 août 2011 c. 4.1 ; ATF 133 I 168 c. 4.1 ; ATF 132 I 21 c. 4.1). Le fait que la peine encourue puisse être assortie du sursis, total ou partiel, n'est pas déterminant sous cet angle (ATF 133 I 270 c. 3.4.2). En l’espèce, E.________ est détenu depuis le 2 avril 2015, soit depuis près de trois mois. Compte tenu de ses antécédents et des charges qui pèsent sur lui (art. 19 al. 2 let. a et b LStup et art. 115 al. 1 let. b LEtr), le recourant s'expose à une peine d’une durée bien supérieure à celle de la détention provisoire subie à ce jour. Le principe de la proportionnalité demeure donc respecté.</w:t>
      </w:r>
    </w:p>
    <w:p>
      <w:r>
        <w:rPr>
          <w:b/>
        </w:rPr>
        <w:t>E. 6</w:t>
      </w:r>
    </w:p>
    <w:p>
      <w:r>
        <w:t>En définitive, le recours doit être rejeté sans autre échange d’écritures (art. 390 al. 2 CPP) et l'ordonnance du 18 juin 2015 confirmée. Les frais de la procédure de recours, constitués en l’espèce de l'émolument d'arrêt (art. 422 al. 1 CPP), par 990 fr. (art. 20 al. 1 TFIP [tarif des frais de procédure et indemnités en matière pénale du 28 septembre 2010 ;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juin 2015 est confirmée. III. L'indemnité allouée au défenseur d'office d’E.________ est fixée à 583 fr. 20 (cinq cent huitante-trois francs et vingt centimes). IV. Les frais du présent arrêt, par 990 fr. (neuf cent nonante francs), ainsi que l'indemnité due au défenseur d'office d’E.________ selon le chiffre III ci-dessus, par 583 fr. 20 (cinq cent huitante-trois francs et vingt centimes), sont mis à la charge de ce dernier. V. Le remboursement à l'Etat de l'indemnité allouée au chiffre III ci-dessus sera exigible pour autant que la situation d’E.________ se soit améliorée. VI. Le présent arrêt est exécutoire. Le président : La greffière : Du Le présent arrêt, dont la rédaction a été approuvée à huis clos, est notifié, par l'envoi d'une copie complète, à : - Mme Véronique Fontana, avocate (pour E.________), - Ministère public central ; et communiqué à : - Mme la Présidente du Tribunal des mesures de contrainte, - M. le Procureur cantonal Strada, - Tribunal correctionnel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