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491 vom 26. Mai 2015</w:t>
      </w:r>
    </w:p>
    <w:p>
      <w:r>
        <w:t>VD Tribunal cantonal, 2015-05-26, FR</w:t>
      </w:r>
    </w:p>
    <w:p>
      <w:r>
        <w:rPr>
          <w:b/>
        </w:rPr>
        <w:t xml:space="preserve">Quelle: </w:t>
      </w:r>
      <w:r>
        <w:t>https://mcp.opencaselaw.ch/entscheid/vd_findinfo_D_cision___2015___491</w:t>
      </w:r>
    </w:p>
    <w:p>
      <w:r>
        <w:t>FR: VD_FINDINFO Décision / 2015 / 491 du 26 mai 2015</w:t>
      </w:r>
    </w:p>
    <w:p>
      <w:r>
        <w:t>IT: VD_FINDINFO Décision / 2015 / 491 del 26 maggio 2015</w:t>
      </w:r>
    </w:p>
    <w:p>
      <w:pPr>
        <w:pStyle w:val="Heading2"/>
      </w:pPr>
      <w:r>
        <w:t>Regeste</w:t>
      </w:r>
    </w:p>
    <w:p>
      <w:r>
        <w:t>CLASSEMENT DE LA PROCÉDURE, DIFFAMATION | 173 CP, 310 CPP (CH), 393 al. 1 let. a CPP (CH)</w:t>
      </w:r>
    </w:p>
    <w:p>
      <w:pPr>
        <w:pStyle w:val="Heading2"/>
      </w:pPr>
      <w:r>
        <w:t>Erwägungen</w:t>
      </w:r>
    </w:p>
    <w:p>
      <w:r>
        <w:rPr>
          <w:b/>
        </w:rPr>
        <w:t>E. 1</w:t>
      </w:r>
    </w:p>
    <w:p>
      <w:r>
        <w:t>Les parties peuvent attaquer une ordonnance de non-entrée en matière rendue par le Ministère public (cf. art. 310 CPP) dans les dix jours devant l’autorité de recours (art. 310 al. 2 et 322 al. 2 CPP; cf. art. 20 al. 1 let. b CPP), qui dans le canton de Vaud est la Chambre des recours pénale du Tribunal cantonal (art. 13 LVCPP [loi d’introduction du code de procédure pénale suisse; RSV 312.01]; art. 80 LOJV [loi d’organisation judiciaire; RSV 173.01]). Interjeté dans le délai légal (art. 322 al. 2 CPP, par renvoi de l'art. 310 al. 2 et art. 396 al. 1 CPP) contre une ordonnance de non-entrée en matière (art. 393 al. 1 let. a CPP), par une partie plaignante qui a qualité pour recourir (art. 382 al. 1 CPP) et dans les formes prescrites (art. 385 al. 1 CPP), le recours est recevable.</w:t>
      </w:r>
    </w:p>
    <w:p>
      <w:r>
        <w:rPr>
          <w:b/>
        </w:rPr>
        <w:t>E. 2.1</w:t>
      </w:r>
    </w:p>
    <w:p>
      <w:r>
        <w:t>Aux termes de l'art. 310 al. 1 let. a CPP, une ordonnance de non-entrée en matière est rendue immédiatement – c’est-à-dire sans qu’une instruction soit ouverte (art. 309 al. 1 et 4 CPP; TF 1B_111/2012 du 5 avril 2012 c. 2.1; Cornu, in: Kuhn/Jeanneret [éd.], op. cit., n. 2 ad art. 310 CPP) – par le ministère public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(TF 1B_111/2012 du 5 avril 2012 c. 2.1; TF 1B_67/2012 du 29 mai 2012 c. 2.2).</w:t>
      </w:r>
    </w:p>
    <w:p>
      <w:r>
        <w:rPr>
          <w:b/>
        </w:rPr>
        <w:t>E. 2.2</w:t>
      </w:r>
    </w:p>
    <w:p>
      <w:r>
        <w:t>Commet une diffamation notamment celui qui, en s'adressant à un tiers, aura accusé une personne ou jeté sur elle le soupçon de tenir une conduite contraire à l'honneur, ou de tout autre fait propre à porter atteinte à sa considération (art. 173 ch. 1 CP). L'inculpé n'encourra aucune peine s'il prouve que les allégations qu'il a articulées ou propagées sont conformes à la vérité ou qu'il avait des raisons sérieuses de les tenir de bonne foi pour vraies (art. 173 ch. 2 CP). Commet une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Ces deux dispositions protègent la réputation d'être une personne honorable, c'est-à-dire de se comporter comme une personne digne a coutume de le faire selon les conceptions généralement reçues (ATF 132 IV 112 c. 2.1; ATF 128 IV 53 c. 1a). L'honneur protégé par le droit pénal est conçu de façon générale comme un droit au respect qui est lésé par toute assertion propre à exposer la personne visée au mépris en sa qualité d'homme (ibidem). L'atteinte à l'honneur pénalement réprimée doit ainsi faire apparaître la personne visée comme méprisable (ATF 137 IV 313 c. 2.1.1; ATF 133 IV 308 c. 8.5.1). Il ne suffit pas d'abaisser une personne dans la bonne opinion qu'elle a d'elle-même ou dans les qualités qu'elle croit avoir, notamment dans le cadre de ses activités professionnelles, artistiques, politiques ou sportives (ATF 119 IV 47 c. 2a; ATF 117 IV 27 c. 2c; ATF 116 IV 205 c. 2, JT 1992 IV 107; Dupuis et alii, Code pénal, Petit commentaire, 2012, n. 4 ad rem. prél. aux art. 173 à 178 CP, p. 1014, et la doctrine citée). Si l'allégation litigieuse ne porte atteinte qu'à la considération dont jouit le lésé dans sa profession ou ses affaires, il n'est pas visé par les art. 173 ss CP (ATF 115 IV 44 c. 1, JT 1990 IV 107).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(TF 6B_143/2011 du 16 septembre 2011 c. 2.1.3; ATF 133 IV 308 c. 8.5.1 précité).</w:t>
      </w:r>
    </w:p>
    <w:p>
      <w:r>
        <w:rPr>
          <w:b/>
        </w:rPr>
        <w:t>E. 2.3</w:t>
      </w:r>
    </w:p>
    <w:p>
      <w:r>
        <w:t>La plainte a été déposée pour « atteinte à l’honneur », sans autre précision, en particulier sans mention des dispositions légales visées. Dans son recours, P.________ fait valoir que, dans la mesure où elle conteste les faits qu’on lui reproche d’avoir commis le 12 juin 2014, et dont la véracité n’est pour elle pas établie, les représentants des forces de l’ordre devaient faire preuve de réserve dans leurs déclarations à son employeur et que, si tel n’a pas été le cas – point sur lequel il y aurait, à son avis, lieu d’instruire – l’infraction de diffamation serait réalisée. Le recours porte ainsi sur l’infraction de l’art. 173 CP. A cet égard, la question n’est pas de savoir si le Sergent-major W.________ aurait dû s’abstenir de prévenir l’employeur de la plaignante ou le faire en formulant des réserves, mais de savoir si le prénommé a ou non tenu à l’égard de P.________ des propos attentatoires à l’honneur et contraires à la vérité. Tel n’est pas le cas. En effet, on ne saurait considérer que le fait pour W.________ d’avoir signalé à l’employeur de la recourante qu’elle serait dénoncée pour des infractions à la l oi sur la circulation routière fasse apparaître l’intéressée comme une personne méprisable ; le fait qu’elle conteste lesdites infractions n’y change rien. Par ailleurs, les déclarations en cause ne seraient susceptibles de porter atteinte qu'à la considération dont jouit la recourante dans sa profession, en sa qualité de conduc-trice de bus scolaire. Le comportement de W.________ ne tombe donc pas sous le coup des art. 173 ss CP. Ainsi, c’est à juste titre que le Procureur a considéré qu’une condam-nation pénale était d’emblée exclue et qu’il a décidé de ne pas entrer en matière sur la plainte déposée par P.________.</w:t>
      </w:r>
    </w:p>
    <w:p>
      <w:r>
        <w:rPr>
          <w:b/>
        </w:rPr>
        <w:t>E. 3</w:t>
      </w:r>
    </w:p>
    <w:p>
      <w:r>
        <w:t>Il résulte de ce qui précède que le recours, manifestement mal fondé, doit être rejeté sans autres échanges d’écritures (art. 390 al. 2 CPP) et l’ordonnance attaquée confirmée. L’assistance judiciaire gratuite sollicitée pour la procédure de recours ne saurait être accordée, le recours étant d'emblée dénué de chance de succès (CREP 8 septembre 2014/654, et les références citées ; Ruckstuhl, in: Niggli/ Heer/Wiprächtiger [éd.], Basler Kommentar, Schweizerische Strafprozessordnung, Jugendstrafprozessordnung, 2 e éd., Bâle 2014, n. 10 ad art. 132 CPP). Les frais de la procédure de recours, constitués de l'émolument d’arrêt, par 660 fr. (art. 20 al. 1 TFIP [tarif des frais judiciaires de procédure et indemnités en matière pénale du 28 septembre 2010; RSV 312.03.1]), seront mis à la charge de la recourante, qui succombe (art. 428 al. 1 CPP). Par ces motifs, la Chambre des recours pénale prononce : I. Le recours est rejeté. II. L’ordonnance du 17 février 2015 est confirmée. III. La requête d’assistance judiciaire gratuite pour la procédure de recours est rejetée. IV. Les frais d’arrêt, par 660 fr. (six cent soixante francs), sont mis à la charge de P.________. V. Le présent arrêt est exécutoire. Le président :               La greffière : Du Le présent arrêt, dont la rédaction a été approuvée à huis clos, est notifié, par l'envoi d'une copie complète, à : - Monsieur Maxime Crisinel, avocat (pour P.________),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