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485 vom 25. Juni 2015</w:t>
      </w:r>
    </w:p>
    <w:p>
      <w:r>
        <w:t>VD Tribunal cantonal, 2015-06-25, FR</w:t>
      </w:r>
    </w:p>
    <w:p>
      <w:r>
        <w:rPr>
          <w:b/>
        </w:rPr>
        <w:t xml:space="preserve">Quelle: </w:t>
      </w:r>
      <w:r>
        <w:t>https://mcp.opencaselaw.ch/entscheid/vd_findinfo_D_cision___2015___485</w:t>
      </w:r>
    </w:p>
    <w:p>
      <w:r>
        <w:t>FR: VD_FINDINFO Décision / 2015 / 485 du 25 juin 2015</w:t>
      </w:r>
    </w:p>
    <w:p>
      <w:r>
        <w:t>IT: VD_FINDINFO Décision / 2015 / 485 del 25 giugno 2015</w:t>
      </w:r>
    </w:p>
    <w:p>
      <w:pPr>
        <w:pStyle w:val="Heading2"/>
      </w:pPr>
      <w:r>
        <w:t>Regeste</w:t>
      </w:r>
    </w:p>
    <w:p>
      <w:r>
        <w:t>DÉTENTION PROVISOIRE, PROLONGATION, PRINCIPE DE LA CÉLÉRITÉ, PROPORTIONNALITÉ, SOUPÇON, RISQUE DE FUITE, RISQUE DE RÉCIDIVE | 212 al. 3 CPP (CH), 221 al. 1 let. a CPP (CH), 221 al. 1 let. c CPP (CH), 222 CPP (CH), 227 CPP (CH), 5 CPP (CH)</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222 et 393 al. 1 let. c CPP), par le détenu, qui a qualité pour recourir (art. 222 et 382 al. 1 CPP), et dans les formes prescrites (art. 385 al. 1 CPP), le recours est recevable.</w:t>
      </w:r>
    </w:p>
    <w:p>
      <w:r>
        <w:rPr>
          <w:b/>
        </w:rPr>
        <w:t>E. 2.1</w:t>
      </w:r>
    </w:p>
    <w:p>
      <w:r>
        <w:t>Selon l’art. 221 al. 1 CPP, la détention provisoire ne peut être ordonnée que lorsque le prévenu est fortement soupçonné d’avoir commis un crime ou un délit et qu’il y a sérieusement lieu de craindre qu’il se soustraie à la procédure pénale ou à la sanction prévisible en prenant la fuite (« risque de fuite ») (let. a), qu’il compromette la recherche de la vérité en exerçant une influence sur des personnes ou en altérant des moyens de preuve (« risque de collusion ») (let. b) ou qu’il compromette sérieusement la sécurité d’autrui par des crimes ou des délits graves après avoir déjà commis des infractions du même genre (« risque de réitération ») (let. c).</w:t>
      </w:r>
    </w:p>
    <w:p>
      <w:r>
        <w:rPr>
          <w:b/>
        </w:rPr>
        <w:t>E. 2.2</w:t>
      </w:r>
    </w:p>
    <w:p>
      <w:r>
        <w:t>Le recourant conteste tout d'abord l'existence de soupçons de culpabilité suffisants sur certains aspects du dossier. S’agissant des soupçons qui doivent peser sur le prévenu,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 c. 3.2; TF 1B_39/2014 du 11 février 2014 c. 2.2). En l'espèce, le recourant admet certaines infractions. Il soutient cependant avoir toujours commis celles-ci en solitaire et conteste avoir jamais agi au sein d'une bande; à plus forte raison, il n'aurait pas occupé la position de chef de bande qui lui est reprochée. A l'appui de ce qui précède, il fait pour l'essentiel valoir qu'il n'a jamais été surpris en flagrant délit en compagnie d'un comparse. L'instruction a cependant spécifiquement porté sur les points contestés par le recourant et a mis en évidence des indices qui l'incriminent. En particulier, de nombreuses déclarations des autres protagonistes donnent clairement à penser que le recourant faisait bien partie de la bande présumée et assumait la direction de celle-ci (cf. P. 292, rapport de police du 19 mars 2015, ch. 7.1.2, pp. 20 et 21). A ce stade de la procédure, ces éléments constituent des indices de culpabilité sérieux, qui doivent être pris en compte dans le cadre du contrôle de la détention provisoire.</w:t>
      </w:r>
    </w:p>
    <w:p>
      <w:r>
        <w:rPr>
          <w:b/>
        </w:rPr>
        <w:t>E. 2.3</w:t>
      </w:r>
    </w:p>
    <w:p>
      <w:r>
        <w:t>Le recourant ne fait valoir aucun grief en relation avec les risques de fuite et de réitération retenus par le Tribunal des mesures de contrainte. La Cour de céans peut dès lors se borner à constater que ces risques sont suffisamment concrets pour fonder la détention provisoire. En particulier, s'agissant du risque de réitération, il faut souligner que le vol en bande et par métier constitue un délit grave au sens de l'art. 221 al. 1 let. c CPP (sur cette exigence, cf. ATF 137 IV 84, JT 2011 IV 325). En l'espèce, l'existence d'un risque concret apparaît manifeste au vu de la trajectoire du recourant, qui a déjà été condamné pour vol, qui est soupçonné d'être impliqué dans de nombreux cas et qui aurait commis de nouveaux cambriolages alors même qu'une instruction pénale était ouverte contre lui et qu'il avait déjà subi plusieurs mois de détention provisoire. Quant au risque de fuite, le fait que le recourant n'a aucun statut en Suisse donne à craindre qu'il quitte le pays pour se soustraire à la procédure pénale ou disparaisse dans la clandestinité.</w:t>
      </w:r>
    </w:p>
    <w:p>
      <w:r>
        <w:rPr>
          <w:b/>
        </w:rPr>
        <w:t>E. 3</w:t>
      </w:r>
    </w:p>
    <w:p>
      <w:r>
        <w:t>La détention provisoire doit encore être conforme au principe de la proportionnalité. Cette condition, qui doit être examinée au regard de l’ensemble des circonstances concrètes du cas d’espèce, implique en particulier que le juge ne peut maintenir la détention avant jugement qu’aussi longtemps qu’elle n’est pas très proche de la durée de la peine privative de liberté à laquelle il faut s’attendre concrètement en cas de condamnation (art. 212 al. 3 CPP; cf. ATF 133 I 168 c. 4.1; ATF 132 I 21 c. 4.1). Toutefois, le fait que la peine encourue puisse être assortie du sursis, total ou partiel, n'est pas déterminant sous l'angle de la proportionnalité (ATF 133 I 270 c. 3.4.2). En l'espèce, le recourant soutient que le principe de la proportionnalité serait violé, car la durée totale de la détention provisoire subie aurait déjà dépassé la durée de la peine privative de liberté à laquelle il faudrait s'attendre concrètement en cas de condamnation. Il est vrai qu'à l'issue de la durée maximale de la prolongation prononcée, le recourant aura subi 548 jours de détention provisoire, soit un peu plus de 18 mois, ce qui est une durée importante. Cela étant, il ne faut pas perdre de vue que les soupçons d'une activité délictueuse en bande sont sérieux, comme déjà vu (cf. c. 2.2 supra), avec pour conséquence que c'est d'emblée une peine de 180 jours-amende au moins ou de dix ans au plus qui rentre en considération (cf. art. 139 ch. 3 al. 2 CP [Code pénal suisse du 21 décembre 1937; RS 311.0]). A cela s'ajoutent le concours d'infractions (art. 49 al. 1 CP), la position présumée de chef de la bande et les antécédents du recourant. Le grief de ce dernier selon lequel les autres prévenus auraient déjà été relâchés est sans pertinence, chaque situation individuelle devant être examinée pour elle-même. Dans ces circonstances, la détention provisoire demeurera conforme au principe de la proportionnalité à l'issue de la durée maximale de la prolongation prononcée. Il y a cependant lieu d'attirer l'attention du Ministère public sur la nécessité de clore l'enquête et d'engager l'accusation devant un tribunal à bref délai, dans la mesure où la question du respect du principe de la proportionnalité risque de devenir de plus en plus sensible dans ce dossier.</w:t>
      </w:r>
    </w:p>
    <w:p>
      <w:r>
        <w:rPr>
          <w:b/>
        </w:rPr>
        <w:t>E. 4</w:t>
      </w:r>
    </w:p>
    <w:p>
      <w:r>
        <w:t>Le recourant se prévaut en outre d'une violation du principe de la célérité. Concrétisant le principe de la célérité, l'art. 5 CPP impose aux autorités pénales d'engager les procédures pénales sans délai et de les mener à terme sans retard injustifié (al. 1), la procédure devant être conduite en priorité lorsqu'un prévenu est placé en détention (al. 2). L’incarcération peut être considérée comme disproportionnée en cas de retard injustifié dans le cours de la procédure pénale. Il doit toutefois s'agir d'un manquement particulièrement grave, faisant au surplus apparaître que l'autorité de poursuite n'est plus en mesure de conduire la procédure à chef dans un délai raisonnable. Le caractère raisonnable de la durée d'une procédure pénale s'apprécie selon les circonstances particulières de la cause, eu égard en particulier à la complexité de l'affaire, au comportement du requérant et à celui des autorités compétentes, ainsi qu'à l'enjeu du litige pour l'intéressé (TF 1B_150/2012 du 30 mars 2012 c. 3 et les arrêts cités). En l'espèce, l'allongement de la procédure s'explique par la relative complexité de l'affaire, qui concerne huit co-prévenus et porte sur un grand nombre de cas, mais également par le comportement du recourant lui-même, qui est soupçonné d'avoir récidivé à plusieurs reprises au cours de la procédure pénale, provoquant ainsi la mise en œuvre de nouvelles mesures d'instruction, la dernière fois en janvier 2015. Dans ces circonstances, une violation du principe de la célérité ne saurait être reconnue.</w:t>
      </w:r>
    </w:p>
    <w:p>
      <w:r>
        <w:rPr>
          <w:b/>
        </w:rPr>
        <w:t>E. 5</w:t>
      </w:r>
    </w:p>
    <w:p>
      <w:r>
        <w:t>Le tribunal compétent ordonne une ou plusieurs mesures moins sévères en lieu et place de la détention si ces mesures permettent d’atteindre le même but que la détention (art. 237 al. 1 CPP). En l'espèce, aucune mesure de substitution n'est à même de prévenir les risques retenus.</w:t>
      </w:r>
    </w:p>
    <w:p>
      <w:r>
        <w:rPr>
          <w:b/>
        </w:rPr>
        <w:t>E. 6</w:t>
      </w:r>
    </w:p>
    <w:p>
      <w:r>
        <w:t>En définitive, le recours doit être rejeté sans autre échange d’écritures (art. 390 al. 2 CPP) et l'ordonnance du 9 juin 2015 confirmée. L’indemnité due au défenseur d’office du recourant sera fixée à 420 fr. – sur la base de trois heures de travail d'avocat-stagiaire, au tarif horaire de 110 fr., et d'une demi-heure de travail d'avocat, au tarif horaire de 180 fr. –, plus la TVA, par 33 fr. 60, ce qui porte le montant alloué à 453 fr. 60. Les frais de la procédure de recours, constitués en l'espèce de l'émolument d’arrêt, par 770 fr. (art. 20 al. 1 TFIP  [Tarif des frais de procédure et indemnités en matière pénale du 28 septembre 2010; RSV 312.03.1]), et des frais imputables à la défense d’office (art. 422 al. 1 et al. 2 let. a CPP), par 453 fr. 60,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9 juin 2015 est confirmée. III. L’indemnité due au défenseur d’office de F.________ est fixée à 453 fr. 60 (quatre cent cinquante-trois francs et soixante centimes). IV. L'émolument d’arrêt, par 770 fr. (sept cent septante francs), ainsi que l’indemnité due au défenseur d’office de F.________, par 453 fr. 60 (quatre cent cinquante-trois francs et soixante centimes), sont mis à la charge de ce dernier. V. Le remboursement à l’Etat de l’indemnité allouée au chiffre III ci-dessus sera exigible pour autant que la situation économique de F.________ se soit améliorée. VI. Le présent arrêt est exécutoire. Le président :               Le greffier : Du Le présent arrêt, dont la rédaction a été approuvée à huis clos, est notifié, par l'envoi d'une copie complète, à : - Mme Sandra Gerber, avocate (pour F.________), - Ministère public central, et communiqué à : ‑ Mme la Présidente du Tribunal des mesures de contrainte,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