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484 vom 24. Juni 2015</w:t>
      </w:r>
    </w:p>
    <w:p>
      <w:r>
        <w:t>VD Tribunal cantonal, 2015-06-24, FR</w:t>
      </w:r>
    </w:p>
    <w:p>
      <w:r>
        <w:rPr>
          <w:b/>
        </w:rPr>
        <w:t xml:space="preserve">Quelle: </w:t>
      </w:r>
      <w:r>
        <w:t>https://mcp.opencaselaw.ch/entscheid/vd_findinfo_D_cision___2015___484</w:t>
      </w:r>
    </w:p>
    <w:p>
      <w:r>
        <w:t>FR: VD_FINDINFO Décision / 2015 / 484 du 24 juin 2015</w:t>
      </w:r>
    </w:p>
    <w:p>
      <w:r>
        <w:t>IT: VD_FINDINFO Décision / 2015 / 484 del 24 giugno 2015</w:t>
      </w:r>
    </w:p>
    <w:p>
      <w:pPr>
        <w:pStyle w:val="Heading2"/>
      </w:pPr>
      <w:r>
        <w:t>Regeste</w:t>
      </w:r>
    </w:p>
    <w:p>
      <w:r>
        <w:t>DÉTENTION PROVISOIRE, RISQUE DE FUITE | 221 al. 1 let. a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10 mars 2015/171; CREP 12 février 2015/111 et les références citées). Ce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le recours a été interjeté en temps utile devant l’autorité compétente par le détenu, qui a qualité pour recourir (art. 382 al. 1 CPP), et dans les formes prescrites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 139 IV 186 c. 2; Schmocker, in :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137 IV 122 c. 3.2; ATF 124 I 208 c. 3; ATF 116 Ia 413 c. 3c; TF 1B_423/2010 du 17 janvier 2011 c. 4.1; TF 1B_410/2010 du 23 décembre 2010 c. 4.1; Forster, op. cit., n. 3 ad art. 221 CPP) . L’art. 228 al. 1 CPP autorise le prévenu à présenter en tout temps, par écrit ou oralement pour mention au procès-verbal, une demande de mise en liberté au ministère public, sous réserve d’une exception qui n’est pas en cause ici; la demande doit être brièvement motivée.</w:t>
      </w:r>
    </w:p>
    <w:p>
      <w:r>
        <w:rPr>
          <w:b/>
        </w:rPr>
        <w:t>E. 2.2</w:t>
      </w:r>
    </w:p>
    <w:p>
      <w:r>
        <w:t>En l’espèce, le recourant conteste d’abord l’existence de soupçons suffisants de culpabilité. Il est soupçonné d’avoir asséné un coup de couteau à [...] qui le met expressément en cause. La description des faits donnée par celui-ci est compatible avec le tableau clinique mis en évidence par le Centre universitaire romand de médecine légale. La thèse de l’automutilation, soutenue par la défense, ne trouve, en l’état, pas d’appui suffisant dans le dossier. En l’état toujours, il n’apparaît pas que le coup de couteau dont aurait été victime [...] puisse avoir été porté par un tiers. Ainsi, l'ensemble de ces éléments constitue un faisceau d'indices qui, à ce stade de la procédure, fait peser sur le recourant des soupçons suffisamment sérieux pour justifier son maintien en détention, étant rappelé que le juge de la détention doit se limiter à une appréciation sommaire des éléments au dossier (cf. not. CREP 18 juin 2015/418 c. 2.3 in fine).</w:t>
      </w:r>
    </w:p>
    <w:p>
      <w:r>
        <w:rPr>
          <w:b/>
        </w:rPr>
        <w:t>E. 2.3</w:t>
      </w:r>
    </w:p>
    <w:p>
      <w:r>
        <w:t>Le recourant conteste ensuite l'existence de risques fondant la détention. Le Tribunal des mesures de contrainte a retenu l'existence du risque de fuite (art. 221 al. 1 let. a CPP). Le prévenu fait valoir qu’il résiderait en Suisse sans discontinuer depuis son arrivée, en décembre 2008, avec son épouse et ses deux jeunes enfants, et qu’il n’aurait ni les ressources ni les contacts nécessaires pour fuir notre pays (recours, ch. 2.2). A cet égard, il suffit de relever que le prévenu, ressortissant somalien, ne bénéficie que d’une admission provisoire en Suisse. Il s’agit d’un statut précaire, susceptible d’être révoqué en tout temps. Dans ces conditions, en l’absence de tout lien suffisamment solide avec la Suisse et vu la gravité des charges qui pèsent contre lui, il est fortement à craindre, au vu de la peine encourue en cas de condamnation, qu’il ne cherche à se soustraire aux poursuites engagées contre lui en entrant dans la clandestinité. Par conséquent, le risque de fuite est concret malgré la présence de membres de la famille du prévenu en Suisse.</w:t>
      </w:r>
    </w:p>
    <w:p>
      <w:r>
        <w:rPr>
          <w:b/>
        </w:rPr>
        <w:t>E. 2.4</w:t>
      </w:r>
    </w:p>
    <w:p>
      <w:r>
        <w:t>Même si le recourant ne conteste pas la proportionnalité (art. 212 al.</w:t>
      </w:r>
    </w:p>
    <w:p>
      <w:r>
        <w:rPr>
          <w:b/>
        </w:rPr>
        <w:t>E. 2.5</w:t>
      </w:r>
    </w:p>
    <w:p>
      <w:r>
        <w:t>Enfin, le recourant considère qu'une assignation à résidence, au sens de l'art. 237 al. 2 let. c CPP, avec port d’un bracelet électronique, préviendrait le risque de fuite. Or cette mesure ne saurait pallier efficacement ce péril, à défaut de GPS (CREP 4 juillet 2014/446 c. 2e).</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9 juin 2015 est confirmée. III. L’indemnité allouée au défenseur d'office de D.________ est fixée à 583 fr. 20 (cinq cent huitante-trois francs et vingt centimes). IV. Les frais du présent arrêt, par 770 fr. (sept cent septante francs), ainsi que l’indemnité due au défenseur d’office de D.________, par 583 fr. 20 (cinq cent huitante-trois francs et vingt centimes), sont mis à la charge de ce dernier. V. Le remboursement à l'Etat de l'indemnité allouée au chiffre III ci-dessus ne sera exigible que pour autant que la situation économique de D.________ se soit améliorée. VI. Le présent arrêt est exécutoire. Le président :              Le greffier : Du L'arrêt qui précède, dont la rédaction a été approuvée à huis clos, est notifié, par l'envoi d'une copie complète, à : - M. Pierre Ventura, avocat (pour D.________), - Ministère public central, et communiqué à : - M. le Président du Tribunal des mesures de contrainte, - M. le Procureur du Ministère public central, - Prison du Bois-Mermet,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