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481 vom 23. Juni 2015</w:t>
      </w:r>
    </w:p>
    <w:p>
      <w:r>
        <w:t>VD Tribunal cantonal, 2015-06-23, FR</w:t>
      </w:r>
    </w:p>
    <w:p>
      <w:r>
        <w:rPr>
          <w:b/>
        </w:rPr>
        <w:t xml:space="preserve">Quelle: </w:t>
      </w:r>
      <w:r>
        <w:t>https://mcp.opencaselaw.ch/entscheid/vd_findinfo_D_cision___2015___481</w:t>
      </w:r>
    </w:p>
    <w:p>
      <w:r>
        <w:t>FR: VD_FINDINFO Décision / 2015 / 481 du 23 juin 2015</w:t>
      </w:r>
    </w:p>
    <w:p>
      <w:r>
        <w:t>IT: VD_FINDINFO Décision / 2015 / 481 del 23 giugno 2015</w:t>
      </w:r>
    </w:p>
    <w:p>
      <w:pPr>
        <w:pStyle w:val="Heading2"/>
      </w:pPr>
      <w:r>
        <w:t>Regeste</w:t>
      </w:r>
    </w:p>
    <w:p>
      <w:r>
        <w:t>DÉTENTION PROVISOIRE, RISQUE DE RÉCIDIVE, SOUPÇON, RISQUE DE COMMISSION | 221 al. 1 let. c CPP (CH), 221 al. 2 CPP (CH), 222 CPP (CH), 393 al. 1 let. a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 RSV 312.01] ; art. 80 LOJV [loi d’organisation judiciaire; RSV 173.01]). 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w:t>
      </w:r>
    </w:p>
    <w:p>
      <w:r>
        <w:rPr>
          <w:b/>
        </w:rPr>
        <w:t>E. 2.2</w:t>
      </w:r>
    </w:p>
    <w:p>
      <w:r>
        <w:t>En l’espèce, le recourant a admis pour l’essentiel les faits qui lui sont reprochés. En outre, ceux-ci sont largement confirmés par les témoignages des membres de sa famille et plus particulièrement par celui de l’une de ses sœurs, B.N, témoin direct de la scène (PV audition de police du 8 juin 2015, p. 2).</w:t>
      </w:r>
    </w:p>
    <w:p>
      <w:r>
        <w:rPr>
          <w:b/>
        </w:rPr>
        <w:t>E. 3</w:t>
      </w:r>
    </w:p>
    <w:p>
      <w:r>
        <w:t>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3.1</w:t>
      </w:r>
    </w:p>
    <w:p>
      <w:r>
        <w:t>Le recourant soutient que le risque de réitération (art. 221 al. 1 let. c CPP) et le risque de passage à l’acte (art. 221 al. 2 CPP) ne seraient pas réalisés.</w:t>
      </w:r>
    </w:p>
    <w:p>
      <w:r>
        <w:rPr>
          <w:b/>
        </w:rPr>
        <w:t>E. 3.2.1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 4.5 ; TF 1B_731/2011 du 16 janvier 2012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w:t>
      </w:r>
    </w:p>
    <w:p>
      <w:r>
        <w:rPr>
          <w:b/>
        </w:rPr>
        <w:t>E. 3.2.2</w:t>
      </w:r>
    </w:p>
    <w:p>
      <w:r>
        <w:t>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 ATF 137 IV 122 c. 5.2, JT 2012 IV 79 ; Schmocker, in : Kuhn/Jeanneret [éd.], op. cit., n. 22 ad art. 221 CPP et les références citées). En particulier en cas de menace de crime de violence, il y a lieu de prendre en compte l’état psychique de la personne soupçonnée, respectivement son imprévisibilité ou son agressivité (ATF 140 IV 19 c. 2.1.1 ;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3.3</w:t>
      </w:r>
    </w:p>
    <w:p>
      <w:r>
        <w:t>En l’espèce, les faits reprochés au recourant sont extrêmement graves, celui-ci ayant sprayé le visage de son père d’un gaz irritant pour ensuite lui asséner deux coups de couteau au niveau de l’abdomen en présence de sa mère, de son frère et de ses soeurs. En outre, la personnalité du recourant est particulièrement inquiétante. Il s’agit d’un jeune homme isolé, qui n’a pas d’amis selon les déclarations des membres de sa famille, lui-même ayant d’ailleurs reconnu avoir seulement des camarades de classe mais ne pas être proche d’eux (PV audition de police du 8 juin 2015, p. 7). Il a interrompu le traitement psychiatrique qu’il avait entrepris pour soigner une dépression ainsi que des hallucinations auditives (PV de police du 8 juin 2015, R. 4, p. 2). Au vu de ses déclarations, son acte était prémédité (PV audition de police du 8 juin 2015, R. 8, pp. 4-5). Le prévenu affirmait encore, après avoir blessé son père et avoir été arrêté, qu’il avait « de plus en plus envie » de tuer son père et qu’il avait des intentions similaires vis-à-vis de sa mère et de ses collègues de travail. De manière générale, il a aussi admis avoir de plus en plus envie de tuer comme un kamikaze (PV audition de police du 8 juin 2015, p. 5). Enfin, il ressort des déclarations de sa sœur, B.N, que celle-ci le considère également capable de s’en prendre à d’autres personnes (PV audition de police du</w:t>
      </w:r>
    </w:p>
    <w:p>
      <w:r>
        <w:rPr>
          <w:b/>
        </w:rPr>
        <w:t>E. 3.4</w:t>
      </w:r>
    </w:p>
    <w:p>
      <w:r>
        <w:t>Les motifs fondant la détention provisoire étant alternatifs, la question de l’existence d’un éventuel risque de collusion peut demeurer indécise, dès lors que la détention est justifiée par l’existence d’un risque de réitération et de passage à l’acte. 4. Pour le surplus, le principe de la proportionnalité des intérêts en présence est respecté, ce qui, à juste titre, n’est pas contesté. Le recourant est en effet détenu provisoirement depuis le 8 juin 2015. 5. En définitive, le recours, manifestement mal fondé, doit être rejeté sans autre échange d’écritures (art. 390 al. 2 CPP) et l'ordonnance du 9 juin 2015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360 fr., plus la TVA par 28 fr. 80, soit 388 fr. 80 au total, seront mis à la charge du recourant, qui succombe (art. 428 al. 1 CPP). Le remboursement à l’Etat de l’indemnité allouée au défenseur d’office de A.N ne sera toutefois exigible que pour autant que la situation économique de ce dernier se soit améliorée (art. 135 al. 4 CPP). Par ces motifs, la Chambre des recours pénale prononce : I. Le recours est rejeté. II. L’ordonnance du 9 juin 2015 est confirmée. III. L'indemnité allouée au défenseur d'office de A.N est fixée à 388 fr. 80 (trois cent huitante-huit francs et huitante centimes). IV. Les frais du présent arrêt, par 770 fr. (sept cent septante francs), ainsi que l’indemnité due au défenseur d’office de A.N, par 388 fr. 80 (trois cent huitante-huit francs et huitante centimes), sont mis à la charge de ce dernier. V. Le remboursement à l'Etat de l'indemnité allouée au chiffre III ci-dessus sera exigible pour autant que la situation économique de A.N se soit améliorée. VI. Le présent arrêt est exécutoire. Le président :               La greffière : Du Le présent arrêt, dont la rédaction a été approuvée à huis clos, est notifié, par l'envoi d'une copie complète, à : - Mme Joëlle Zimmermann, avocate (pour A.N), - Ministère public central ;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8</w:t>
      </w:r>
    </w:p>
    <w:p>
      <w:r>
        <w:t>juin 2015, p. 4). Compte tenu de ce qui précède, le pronostic est très défavorable de sorte que l’intérêt à la sécurité publique doit prévaloir. Les risques de réitération et de passage à l’acte sont ainsi réalisés et s'opposent catégoriquement à la levée de la détention provisoire du prévenu. En outre, une expertise psychiatrique va être ordonnée par le procureur. Il est ainsi indispensable d’attendre les conclusions des experts qui permettront d'évaluer plus précisément le risque de récidive et la dangerosité du recourant. Cette expertise permettra également de déterminer les éventuelles mesures nécessaires pour parer aux risques que présentent le prévenu. Une libération n’est ainsi pas envisageable et aucune mesure de substitution ne saurait entrer en considération à ce stade.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