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 vom 19. Dezember 2014</w:t>
      </w:r>
    </w:p>
    <w:p>
      <w:r>
        <w:t>VD Tribunal cantonal, 2014-12-19, FR</w:t>
      </w:r>
    </w:p>
    <w:p>
      <w:r>
        <w:rPr>
          <w:b/>
        </w:rPr>
        <w:t xml:space="preserve">Quelle: </w:t>
      </w:r>
      <w:r>
        <w:t>https://mcp.opencaselaw.ch/entscheid/vd_findinfo_D_cision___2015___48</w:t>
      </w:r>
    </w:p>
    <w:p>
      <w:r>
        <w:t>FR: VD_FINDINFO Décision / 2015 / 48 du 19 décembre 2014</w:t>
      </w:r>
    </w:p>
    <w:p>
      <w:r>
        <w:t>IT: VD_FINDINFO Décision / 2015 / 48 del 19 dicembre 2014</w:t>
      </w:r>
    </w:p>
    <w:p>
      <w:pPr>
        <w:pStyle w:val="Heading2"/>
      </w:pPr>
      <w:r>
        <w:t>Regeste</w:t>
      </w:r>
    </w:p>
    <w:p>
      <w:r>
        <w:t>OPPOSITION{PROCÉDURE}, ORDONNANCE DE CONDAMNATION, DÉLAI DE RECOURS | 356 al. 2 CPP (CH), 85 al. 4 CPP (CH)</w:t>
      </w:r>
    </w:p>
    <w:p>
      <w:pPr>
        <w:pStyle w:val="Heading2"/>
      </w:pPr>
      <w:r>
        <w:t>Erwägungen</w:t>
      </w:r>
    </w:p>
    <w:p>
      <w:r>
        <w:rPr>
          <w:b/>
        </w:rPr>
        <w:t>E. 1</w:t>
      </w:r>
    </w:p>
    <w:p>
      <w:r>
        <w:t>Le prononcé par lequel un tribunal de première instance statue sur la validité de l'opposition formée par le prévenu contre une ordonnance pénale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rPr>
          <w:b/>
        </w:rPr>
        <w:t>E. 2</w:t>
      </w:r>
    </w:p>
    <w:p>
      <w:r>
        <w:t>e éd., Bâle 2014, n. 2 ad art. 356 CPP ; CREP 3 septembre 2014/650 ; CREP 21 août 2014/593 ; CREP 14 août 2014/580).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la prévenue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à l’autorité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w:t>
      </w:r>
    </w:p>
    <w:p>
      <w:r>
        <w:rPr>
          <w:b/>
        </w:rPr>
        <w:t>E. 2.2</w:t>
      </w:r>
    </w:p>
    <w:p>
      <w:r>
        <w:t>En l’espèce, la recourante savait qu’une instruction pénale était ouverte contre elle pour injure et menaces depuis le 8 avril 2014, le Ministère public l’en ayant informé par lettre du 15 juillet 2014 (P. 10). Celle-ci est bien parvenue à sa destinataire puisqu’elle y a répondu le 18 juillet 2014 (P. 11). Certes, la recourante a indiqué dans sa lettre du 18 juillet 2014 qu’elle serai[t] à l’étranger pendant les trois prochaines semaines ». L’ordonnance pénale a toutefois été notifiée le 5 septembre 2014, soit un mois après la fin de l’absence à l’étranger annoncée par la recourante, si bien que la recourante ne saurait soutenir qu’elle ne devait pas s’attendre à la remise d’un prononcé à cette date. La fiction de l’art. 85 al. 4 let. a CPP étant opérante, l’ordonnance pénale a été valablement notifiée à l’issue du délai de garde le mercredi 17 septembre 2014. Le délai de dix jours pour former opposition est donc arrivé à échéance le lundi 29 septembre 2014 (cf. art. 90 al. 2 CPP). Mise à la poste le 6 novembre 2014, l’opposition est manifestement tardive au regard de l’art. 354 al. 1 CPP. C’est donc à bon droit que le tribunal de police l’a déclarée irrecevable. 3. En définitive, le recours doit être rejeté sans autre échange d’écritures (art. 390 al. 2 CPP) et le prononcé du 28 novembre  2014 confirmé. Les frais de la procédure de recours, constitués uniquement des frais d’arrêt,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Le prononcé du 28 novembre 2014 est confirmé. III. Les frais d’arrêt, par 550 fr. (cinq cent cinquante francs), sont mis à la charge de X.________. IV. Le présent arrêt est exécutoire. Le président :               Le greffier : Du Le présent arrêt, dont la rédaction a été approuvée à huis clos, est notifié, par l'envoi d'une copie complète, à : - Mme X.________, - MmeN.________, - Ministère public central, et communiqué à : - M. le Présidente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w:t>
      </w:r>
    </w:p>
    <w:p>
      <w:r>
        <w:rPr>
          <w:b/>
        </w:rPr>
        <w:t>E. 4</w:t>
      </w:r>
    </w:p>
    <w:p>
      <w:r>
        <w:t>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6B_463/2014 du 18 septembre 2014 c. 1.1 ; ATF 130 III 396 c.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