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479 vom 17. Juni 2015</w:t>
      </w:r>
    </w:p>
    <w:p>
      <w:r>
        <w:t>VD Tribunal cantonal, 2015-06-17, FR</w:t>
      </w:r>
    </w:p>
    <w:p>
      <w:r>
        <w:rPr>
          <w:b/>
        </w:rPr>
        <w:t xml:space="preserve">Quelle: </w:t>
      </w:r>
      <w:r>
        <w:t>https://mcp.opencaselaw.ch/entscheid/vd_findinfo_D_cision___2015___479</w:t>
      </w:r>
    </w:p>
    <w:p>
      <w:r>
        <w:t>FR: VD_FINDINFO Décision / 2015 / 479 du 17 juin 2015</w:t>
      </w:r>
    </w:p>
    <w:p>
      <w:r>
        <w:t>IT: VD_FINDINFO Décision / 2015 / 479 del 17 giugno 2015</w:t>
      </w:r>
    </w:p>
    <w:p>
      <w:pPr>
        <w:pStyle w:val="Heading2"/>
      </w:pPr>
      <w:r>
        <w:t>Regeste</w:t>
      </w:r>
    </w:p>
    <w:p>
      <w:r>
        <w:t>DÉFENSE D'OFFICE, RÉVOCATION{PERSONNE OU ORGANE} | 132 CPP (CH), 134 CPP (CH)</w:t>
      </w:r>
    </w:p>
    <w:p>
      <w:pPr>
        <w:pStyle w:val="Heading2"/>
      </w:pPr>
      <w:r>
        <w:t>Erwägungen</w:t>
      </w:r>
    </w:p>
    <w:p>
      <w:r>
        <w:rPr>
          <w:b/>
        </w:rPr>
        <w:t>E. 1</w:t>
      </w:r>
    </w:p>
    <w:p>
      <w:r>
        <w:t>L’ordonnance attaquée, du 16 avril 2015, a été reçue au plus tard le mardi 21 avril 2015, puisque les recours portent cette date. Interjetés l’un et l’autre dans le délai légal (art. 396 al. 1 CPP [Code de procédure pénale suisse du 5 octobre 2007, RS 312.0]) contre une décision du ministère public (art. 393 al. 1 let. a CPP), par une partie qui a qualité pour recourir (art. 382 al. 1 CPP) et dans les formes prescrites (art. 385 al. 1 CPP), chacun des recours dirigés contre l’ordonnance de révocation du défenseur d’office et de refus de désignation d’un nouveau défenseur d’office rendue le 16 avril 2015 concernant l’une et l’autre des parties est recevable. Vu leur évidente connexité, il y a lieu de statuer sur les deux recours par un seul arrêt.</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Cette disposition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w:t>
      </w:r>
    </w:p>
    <w:p>
      <w:r>
        <w:rPr>
          <w:b/>
        </w:rPr>
        <w:t>E. 2.2</w:t>
      </w:r>
    </w:p>
    <w:p>
      <w:r>
        <w:t>En l’espèce, la rupture du lien de confiance avec l’avocat Pidoux n'est pas contestée par les recourants. Elle ne fait du reste pas l'objet des recours. Les prévenus soutiennent bien plutôt que la cause nécessiterait la désignation d’un nouveau défenseur d’office. Ce point ne fait pas l’objet du dispositif de l’ordonnance. Il n’en reste pas moins qu’il est explicitement abordé dans ses motifs. Il doit en être déduit que l’ordonnance porte également sur le refus de la désignation d’un nouveau défenseur d’office. Une annulation avec renvoi au Ministère public pour qu’il rende une décision complémentaire à cet égard relèverait à l’évidence du formalisme excessif. Il convient donc d’entrer en matière sur ce point.</w:t>
      </w:r>
    </w:p>
    <w:p>
      <w:r>
        <w:rPr>
          <w:b/>
        </w:rPr>
        <w:t>E. 2.3</w:t>
      </w:r>
    </w:p>
    <w:p>
      <w:r>
        <w:t>Le procureur a explicitement renoncé à désigner un nouveau défenseur aux recourants, motif pris que ceux-ci agissaient de leur propre chef et ne permettaient ainsi pas à l'avocat nommé de remplir efficacement sa mission. Les recourants contestent cette motivation et soutiennent que, en ne suivant pas les conseils de l'avocat qui leur était désigné, ils avaient obtenu gain de cause à une reprise devant le Tribunal cantonal dans une cause que leur défenseur d’office avait refusé de plaider. Cela dit, pour eux, un avocat n’en serait pas moins nécessaire du moment qu'ils résident à l'étranger, sans adresse postale, « pour faire le lien entre [eux] et la justice ».</w:t>
      </w:r>
    </w:p>
    <w:p>
      <w:r>
        <w:rPr>
          <w:b/>
        </w:rPr>
        <w:t>E. 2.4</w:t>
      </w:r>
    </w:p>
    <w:p>
      <w:r>
        <w:t>Le fait retenu par le procureur est effectivement exact. L’essentiel n’en est pas moins ailleurs. En effet, les recourants ont fait la preuve de leur aptitude à défendre seuls leurs intérêts devant la Cour de céans, ce depuis des années dans un grand nombre de procès. A cet égard, depuis 2011, il n’y a eu pas moins de 34 causes (y compris les affaires pendantes) impliquant l’un et l’autre des recourants, quasiment toujours en cette qualité, rarement en celle d’intimé; 50 affaires impliquent au moins A.C.________ et 66 impliquent au moins B.C.________, le premier de ces arrêts remontant au 28 juin 2011 (n° 334). Les recours ont été interjetés par les susnommés sous leur propre plume. Sur ce total, plusieurs recours ont été admis, dont au moins trois dans un passé récent, à savoir : CREP 10 mars 2015/178 (impliquant les deux recourants), ainsi que CREP 3 mars 2015/156 et CREP 21 janvier 2015/52 (impliquant seulement B.C.________); la susnommée a également eu gain de cause dans un passé plus éloigné (CREP 6 septembre 2013/551). C’est donc à juste titre que les recourants soutiennent qu’il leur est arrivé d’obtenir gain de cause sans l’assistance d’un avocat. S’agissant de justiciables aussi aguerris, on ne saurait dès lors retenir que l’assistance d’un défenseur serait justifiée pour sauvegarder leurs intérêts. La solution contraire impliquerait un gaspillage de deniers publics et un risque de procédés parallèles, les plaideurs manifestant une évidente propension à agir indépendamment des mandataires qui leur sont désignés et même à résilier ces mandats au moindre prétexte. Peu importe dès lors que l’affaire ne soit pas de peu de gravité, les prévenus paraissant chacun effectivement passible d’une peine privative de liberté de plus de quatre mois, d’une peine pécuniaire de plus de 120 jours-amende ou d’un travail d’intérêt général de plus de 480 heures (art. 132 al. 3 CPP précité; cf. notamment JT 2011 III 64). A ce motif s’ajoute qu’une défense d’office ne paraît pas nécessaire à ce stade de l’enquête, dès lors que les faits incriminés semblent suffisamment établis, que les prévenus se sont d’ores et déjà déterminés par écrit et que les plaignants ne sont pas assistés.</w:t>
      </w:r>
    </w:p>
    <w:p>
      <w:r>
        <w:rPr>
          <w:b/>
        </w:rPr>
        <w:t>E. 2.5</w:t>
      </w:r>
    </w:p>
    <w:p>
      <w:r>
        <w:t>Cela étant, les recourants font valoir qu’ils résident désormais à l’étranger. Il doit être déduit de la procédure qu’il s’agit probablement de l’Espagne. Quoi qu’il en soit, peu importe. Même s’il paraît établi que les recourants cherchent à dissimuler leur adresse à l’étranger et que la communication des actes à leur adresse en Suisse pourrait dès lors ne plus aboutir, le seul motif déduit du bénéfice à adresser les notifications à l'Etude du conseil (art. 87 al. 3 CPP) ne saurait suffire à justifier la désignation d’un défenseur d’office.</w:t>
      </w:r>
    </w:p>
    <w:p>
      <w:r>
        <w:rPr>
          <w:b/>
        </w:rPr>
        <w:t>E. 3</w:t>
      </w:r>
    </w:p>
    <w:p>
      <w:r>
        <w:t>En définitive, les recours doivent être rejetés et l’ordonnance du 16 avril 2015 confirmée. Les frais de la procédure de recours, constitués en l’espèce du seul émolument d'arrêt, par 770 fr. (art. 20 al. 1 TFIP [Tarif des frais de procédure et indemnités en matière pénale du 28 septembre 2010; RSV 312.03.1]), seront mis à la charge des recourants, qui succombent (art. 428 al. 1 CPP), à parts égales et solidairement entre eux (art. 418 al. 2 CPP). Par ces motifs, la Chambre des recours pénale prononce : I. Les recours sont rejetés. II. L’ordonnance du 16 avril 2015 est confirmée. III. Les frais d'arrêt, par 770 fr. (sept cent septante francs), sont mis à la charge de A.C.________ et B.C.________, à parts égales et solidairement entre eux. IV. L'arrêt est exécutoire. Le président :               Le greffier : Du L'arrêt qui précède, dont la rédaction a été approuvée à huis clos, est notifié, par l'envoi d'une copie complète, à : - M. A.C.________, - Mme B.C.________,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