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469 vom 18. Juni 2015</w:t>
      </w:r>
    </w:p>
    <w:p>
      <w:r>
        <w:t>VD Tribunal cantonal, 2015-06-18, FR</w:t>
      </w:r>
    </w:p>
    <w:p>
      <w:r>
        <w:rPr>
          <w:b/>
        </w:rPr>
        <w:t xml:space="preserve">Quelle: </w:t>
      </w:r>
      <w:r>
        <w:t>https://mcp.opencaselaw.ch/entscheid/vd_findinfo_D_cision___2015___469</w:t>
      </w:r>
    </w:p>
    <w:p>
      <w:r>
        <w:t>FR: VD_FINDINFO Décision / 2015 / 469 du 18 juin 2015</w:t>
      </w:r>
    </w:p>
    <w:p>
      <w:r>
        <w:t>IT: VD_FINDINFO Décision / 2015 / 469 del 18 giugno 2015</w:t>
      </w:r>
    </w:p>
    <w:p>
      <w:pPr>
        <w:pStyle w:val="Heading2"/>
      </w:pPr>
      <w:r>
        <w:t>Regeste</w:t>
      </w:r>
    </w:p>
    <w:p>
      <w:r>
        <w:t>DÉTENTION PROVISOIRE, SOUPÇON, RISQUE DE RÉCIDIVE, MESURE DE SUBSTITUTION À LA DÉTENTION | 221 al. 1 let. c CPP (CH), 221 al. 2 CPP (CH), 393 al. 1 let. c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10 mars 2015/171 ; CREP 12 février 2015/111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Le recourant conteste l’existence de soupçons suffisants de culpabilité.</w:t>
      </w:r>
    </w:p>
    <w:p>
      <w:r>
        <w:rPr>
          <w:b/>
        </w:rPr>
        <w:t>E. 2.2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w:t>
      </w:r>
    </w:p>
    <w:p>
      <w:r>
        <w:rPr>
          <w:b/>
        </w:rPr>
        <w:t>E. 2.3</w:t>
      </w:r>
    </w:p>
    <w:p>
      <w:r>
        <w:t>En l’espèce, le recourant est soupçonné d’avoir frappé à plusieurs reprises T.________, de l’avoir poussée sans ménagement, de lui avoir serré le cou ainsi que d’avoir proféré des menaces de mort à son encontre en brandissant un couteau de cuisine. Certes, l’intéressé conteste toujours toute infraction commise à l’égard de son épouse. Il a toutefois lui-même admis l’existence de nombreux conflits et tensions entre eux, à cause de problèmes d’argent notamment (cf. PV aud. du 1 er mars 2015 et PV aud. du 12 mai 2015). Il ressort également des certificats médicaux et des photographies au dossier que le corps de la plaignante comportait des hématomes compatibles avec une agression physique (cf. P. 4, P. 5 et P. 7 à 10). Par ailleurs, le témoin B.________ a indiqué avoir constaté que l’état de T.________ avait empiré au fil des semaines, cette dernière présentant successivement divers hématomes sur les bras et les avant-bras, un œil au beurre noir, ainsi qu’un poignet dans le plâtre ; il a ajouté que cette dernière lui avait rapporté les violences commises par J.________, de même que les menaces de mort proférées (cf. PV aud. du 19 mai 2015, pp. 2-4). A ce stade, les déclarations constantes de la plaignante apparaissent donc crédibles ; ce sont en revanche les dénégations du prévenu qui semblent douteuses, tant il ne convainc pas lorsqu’il prétend qu’il n’aurait jamais menacé son épouse en brandissant un couteau de cuisine, mais qu’il tenait simplement cet objet dans sa main au moment où la dispute avait éclaté, car « il préparait une tajine » (cf. recours sous P. 30/2, pp. 3-4). Ainsi, l'ensemble de ces éléments constitue un faisceau d'indices suffisant faisant en l’état peser des soupçons sérieux sur J.________ pour justifier le maintien en détention de ce dernier, étant rappelé que le juge de la détention doit se limiter à une appréciation sommaire des éléments au dossier.</w:t>
      </w:r>
    </w:p>
    <w:p>
      <w:r>
        <w:rPr>
          <w:b/>
        </w:rPr>
        <w:t>E. 3.1</w:t>
      </w:r>
    </w:p>
    <w:p>
      <w:r>
        <w:t>Le recourant conteste en outre l'existence de risques fondant la détention. Le Tribunal des mesures de contrainte a retenu l'existence d'un risque de réitération (art. 221 al. 1 let. c CPP) et de passage à l’acte (art. 221 al. 2 CPP).</w:t>
      </w:r>
    </w:p>
    <w:p>
      <w:r>
        <w:rPr>
          <w:b/>
        </w:rPr>
        <w:t>E. 3.2</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3.3</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3.4</w:t>
      </w:r>
    </w:p>
    <w:p>
      <w:r>
        <w:t>En l’espèce, les faits reprochés au recourant sont graves, dès lors que celui-ci aurait frappé son épouse à de multiples reprises, lui occasionnant diverses lésions (hématomes et pouce fracturé). Il n’aurait en outre pas hésité à la saisir au cou à deux occasions et à la pousser en la faisant chuter ; enfin, il l’aurait menacée de mort en brandissant un couteau de cuisine. Dans cette mesure, force est d’admettre que l’activité délictueuse du recourant est à l’évidence de nature à compromettre sérieusement la sécurité d’autrui au sens de l’art. 221 al. 1 let. c CPP, les infractions dont on peut redouter la réitération étant des délits graves mettant en danger la sécurité de la plaignante et son intégrité corporelle. A cet égard, le fait que ces coups et menaces s’inscrivent dans un contexte de conflits au sein du couple n’est pas pertinent, dès lors qu’il convient ici d’apprécier si, sur la base de la situation personnelle et des circonstances de l’espèce, le recourant présente un risque concret de réitération, respectivement de passage à l’acte. Il faut ainsi considérer que par ses actes et violences répétés, le recourant a montré qu’il n’arrivait pas à maîtriser son tempérament face à la plaignante, partant qu’il ne pouvait pas s’empêcher de lui nuire. On relèvera en particulier qu’il a perpétré ses agissements alors même qu’il savait qu’une première instruction pénale était ouverte à son encontre pour des faits similaires et qu’il avait reçu un avertissement formel du Procureur. Cependant, tant cette mise en garde que l’expulsion de domicile n’ont manifestement eu aucun effet sur lui et sa persévérance à poursuivre son activité délictueuse. Dans ces conditions, les engagements pris par J.________ à l’audience de mesures protectrices de l’union conjugale du 22 mai 2015 ne permettent nullement d’exclure tout risque de récidive, respectivement de passage à l’acte. Au contraire, il faut constater que le prévenu avait déjà pris des engagements similaires en mars 2015, engagements qu’il n’a toutefois pas respectés puisque non seulement il n’a pas consulté [...], mais qu’il est encore revenu au domicile conjugal, malgré la séparation d’avec son épouse, et qu’il a à nouveau commis des violences à l’encontre de celle-ci. Peu importe que ce soit la plaignante qui lui ait demandé de revenir dans le logement conjugal ou que celle-ci n’ait pas souhaité initialement leur séparation. En définitive, même si la séparation paraît désormais être voulue par les deux parties, rien ne permet de considérer que les engagements pris le 22 mai 2015 seraient plus sérieux et durables que les précédents. Le pronostic quant au risque de réitération, respectivement de passage à l’acte, qui doit être posé est incontestablement défavorable. Aucun élément soulevé n’est au demeurant de nature à renverser un tel pronostic. Compte tenu des éléments qui viennent d’être exposés, le risque de réitération apparaît réalisé et il s’oppose donc à la levée de la détention provisoire du prévenu. Eu égard au caractère persistant des violences commises par J.________, à la gravité des menaces en cause et au contexte de relations conflictuelles entre les parties, il existe également un risque de passage à l’acte suffisamment concret pour s’opposer en l’état à sa remise en liberté.</w:t>
      </w:r>
    </w:p>
    <w:p>
      <w:r>
        <w:rPr>
          <w:b/>
        </w:rPr>
        <w:t>E. 4</w:t>
      </w:r>
    </w:p>
    <w:p>
      <w:r>
        <w:t>Au vu des considérants qui précèdent, aucune mesure de substitution (cf. art. 237 CPP) ne saurait entrer en considération à ce stade afin de prévenir efficacement les risques de réitération et de passage à l’acte. Le fait de vivre séparé d’avec son épouse et d’habiter chez sa sœur à Gland, à l’instar de l’interdiction de prendre contact avec la plaignante ou de s’approcher d’elle, ne représentent de loin pas des garanties suffisantes pour pallier ces risques. En effet, malgré la demande de séparation déposée à l’audience du 13 mars 2015 et malgré le domicile déjà pris chez sa sœur à cette date, il a été constaté que le prévenu logeait chez T.________ depuis trois semaines avant son interpellation ; alors même qu’il soutient qu’il voulait la séparation d’avec son épouse, le recourant est pourtant revenu un mois après au domicile conjugal. Au vu de ces circonstances, on saurait dès lors considérer qu’il respectera une mesure d’éloignement ou une interdiction de contacter la plaignante.</w:t>
      </w:r>
    </w:p>
    <w:p>
      <w:r>
        <w:rPr>
          <w:b/>
        </w:rPr>
        <w:t>E. 5</w:t>
      </w:r>
    </w:p>
    <w:p>
      <w:r>
        <w:t>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J.________ est détenu depuis le 11 mai 2015, soit depuis un peu plus d’un mois. Compte tenu de ses antécédents et des charges qui pèsent sur lui, le recourant s'expose à une peine d’une durée bien supérieure à celle de la détention provisoire subie à ce jour. Le principe de la proportionnalité demeure donc respecté.</w:t>
      </w:r>
    </w:p>
    <w:p>
      <w:r>
        <w:rPr>
          <w:b/>
        </w:rPr>
        <w:t>E. 6</w:t>
      </w:r>
    </w:p>
    <w:p>
      <w:r>
        <w:t>En définitive, le recours, manifestement mal fondé, doit être rejeté sans autre échange d’écritures (art. 390 al. 2 CPP) et l'ordonnance du 5 juin 2015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juin 2015 est confirmée. III. L'indemnité allouée au défenseur d'office de J.________ est fixée à 583 fr. 20 (cinq cent huitante-trois francs et vingt centimes). IV. Les frais du présent arrêt, par 1'210 fr. (mille deux cent dix francs), ainsi que l'indemnité due au défenseur d'office de J.________ selon le chiffre III ci-dessus, par 583 fr. 20 (cinq cent huitante-trois francs et vingt centimes), sont mis à la charge de ce dernier. V. Le remboursement à l'Etat de l'indemnité allouée au chiffre III ci-dessus sera exigible pour autant que la situation de J.________ se soit améliorée. VI. Le présent arrêt est exécutoire. Le président : La greffière : Du Le présent arrêt, dont la rédaction a été approuvée à huis clos, est notifié, par l'envoi d'une copie complète, à : - Mme Cyrielle Cornu, avocate (pour J.________), - Ministère public central ; et communiqué à : - M. le Président du Tribunal des mesures de contrainte, - M. le Procureur d’arrondissement itinérant, - Mme Alexa Landert, avocate (pour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