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468 vom 16. Juni 2015</w:t>
      </w:r>
    </w:p>
    <w:p>
      <w:r>
        <w:t>VD Tribunal cantonal, 2015-06-16, FR</w:t>
      </w:r>
    </w:p>
    <w:p>
      <w:r>
        <w:rPr>
          <w:b/>
        </w:rPr>
        <w:t xml:space="preserve">Quelle: </w:t>
      </w:r>
      <w:r>
        <w:t>https://mcp.opencaselaw.ch/entscheid/vd_findinfo_D_cision___2015___468</w:t>
      </w:r>
    </w:p>
    <w:p>
      <w:r>
        <w:t>FR: VD_FINDINFO Décision / 2015 / 468 du 16 juin 2015</w:t>
      </w:r>
    </w:p>
    <w:p>
      <w:r>
        <w:t>IT: VD_FINDINFO Décision / 2015 / 468 del 16 giugno 2015</w:t>
      </w:r>
    </w:p>
    <w:p>
      <w:pPr>
        <w:pStyle w:val="Heading2"/>
      </w:pPr>
      <w:r>
        <w:t>Regeste</w:t>
      </w:r>
    </w:p>
    <w:p>
      <w:r>
        <w:t>CLASSEMENT DE LA PROCÉDURE, VOL{DROIT PÉNAL} |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V.________, partie plaignante qui a qualité pour recourir (cf. art. 382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 2.1; CREP 11 avril 2014/280 c. 2a et les références citées).</w:t>
      </w:r>
    </w:p>
    <w:p>
      <w:r>
        <w:rPr>
          <w:b/>
        </w:rPr>
        <w:t>E. 2.2</w:t>
      </w:r>
    </w:p>
    <w:p>
      <w:r>
        <w:t>En l’espèce, contrairement à ce que prétend V.________, l’instruction menée de manière complète par le Procureur et qui a permis de reconstituer le sort des objets retrouvés par la police n’a pas établi que des objets autres que ceux figurant sur les divers inventaires au dossier et/ou restitués au prénommé se trouvaient dans le sac de marque Samsonite (également restitué [PV des opérations, p. 5]) au moment où celui-ci a été saisi. Il ne fait par ailleurs aucun doute que ce sac correspond à celui dont le prénommé déplorait la disparition ; en effet, outre le fait qu’il est de la même marque, il a été retrouvé précisément à l’endroit où l’intéressé prétendait l’avoir posé, soit dans le couloir menant à l’appartement de [...], à côté de l’ascenseur (P. 16/2 ; P. 43, p. 3). Or le plaignant soutient qu’il lui manquerait encore trois montres de marques IWC, Omega et Rado, ainsi qu’un briquet (recours, p. 3). S’agissant de la montre IWC et du briquet, il résulte de la quittance du 15 août 2013 de la police que ces objets ont été restitués à « la personne concernée » (P. 11). Le recourant prétend toutefois que ces objets ne se trouveraient pas dans son dépôt en prison et qu’ils auraient dès lors été volés. Or il ressort de l’enquête que la destination de cette montre et du briquet a pu être établie et que la quittance du 15 août 2013 fait état de la réception de ces objets, transmis par la police. Ainsi, même si l’on ignore où se trouvent exactement ces objets, ils sont toutefois retournés dans la sphère de possession du recourant, ce qui exclut l’infraction de vol ou d’appropriation illégitime de la part des forces de l’ordre. Il en va de même des deux autres montres Omega et Rado, dès lors qu’elles figurent sur l’inventaire détaillé des « objets trouvés dans le local de M. V.________ » à la Tour-de-Peilz établi par [...] et déposé par celui-ci au greffe du Ministère public de l’arrondissement de l’Est vaudois (P. 12/1). D’ailleurs, le conseil du recourant a lui-même admis que la question d’une éventuelle responsabilité des autorités pénales se posait non pas dans l’hypothèse d’un égarement des objets, mais uniquement en cas de disparition de ceux-ci lors de l’arrestation de son client (P. 36, p. 2), ce qui n’a pas été le cas, comme on vient de le voir. Il résulte de ce qui précède que c’est à juste titre que le Procureur a considéré qu’aucune infraction n’avait été commise par la police et qu’il a classé la procédure pénale.</w:t>
      </w:r>
    </w:p>
    <w:p>
      <w:r>
        <w:rPr>
          <w:b/>
        </w:rPr>
        <w:t>E. 3.1</w:t>
      </w:r>
    </w:p>
    <w:p>
      <w:r>
        <w:t>En définitive, le recours, manifestement mal fondé, doit être rejeté sans autres échanges d’écritures (art. 390 al. 2 CPP) et l’ordonnance attaquée confirmée.</w:t>
      </w:r>
    </w:p>
    <w:p>
      <w:r>
        <w:rPr>
          <w:b/>
        </w:rPr>
        <w:t>E. 3.2</w:t>
      </w:r>
    </w:p>
    <w:p>
      <w:r>
        <w:t>Le recourant requiert l’octroi de l’assistance judiciaire gratuite pour la procédure de recours. Cette requête doit être rejetée, dès lors que l’action civile exercée par adhésion à la procédure pénale apparaissait vouée à l’échec, compte tenu de la confirmation de l’ordonnance de classement (art. 136 al. 1 let. b CPP).</w:t>
      </w:r>
    </w:p>
    <w:p>
      <w:r>
        <w:rPr>
          <w:b/>
        </w:rPr>
        <w:t>E. 3.3</w:t>
      </w:r>
    </w:p>
    <w:p>
      <w:r>
        <w:t>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23 avril 2015 est confirmée. III. La requête de V.________ tendant à l’octroi de l’assistance judiciaire gratuite pour la procédure de recours est rejetée. IV. Les frais d’arrêt, par 660 fr. (six cent soixante francs), sont mis à la charge de V.________. V. Le présent arrêt est exécutoire. Le président :               Le greffier : Du Le présent arrêt, dont la rédaction a été approuvée à huis clos, est notifié, par l'envoi d'une copie complète, à : - M. Robert Ayrton, avocat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