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466 vom 18. Juni 2015</w:t>
      </w:r>
    </w:p>
    <w:p>
      <w:r>
        <w:t>VD Tribunal cantonal, 2015-06-18, FR</w:t>
      </w:r>
    </w:p>
    <w:p>
      <w:r>
        <w:rPr>
          <w:b/>
        </w:rPr>
        <w:t xml:space="preserve">Quelle: </w:t>
      </w:r>
      <w:r>
        <w:t>https://mcp.opencaselaw.ch/entscheid/vd_findinfo_D_cision___2015___466</w:t>
      </w:r>
    </w:p>
    <w:p>
      <w:r>
        <w:t>FR: VD_FINDINFO Décision / 2015 / 466 du 18 juin 2015</w:t>
      </w:r>
    </w:p>
    <w:p>
      <w:r>
        <w:t>IT: VD_FINDINFO Décision / 2015 / 466 del 18 giugno 2015</w:t>
      </w:r>
    </w:p>
    <w:p>
      <w:pPr>
        <w:pStyle w:val="Heading2"/>
      </w:pPr>
      <w:r>
        <w:t>Regeste</w:t>
      </w:r>
    </w:p>
    <w:p>
      <w:r>
        <w:t>DÉTENTION PROVISOIRE, RISQUE DE RÉCIDIVE | 221 al. 1 let. c CPP (CH), 221 CPP (CH), 391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Dans sa réplique du 16 juin 2015, le recourant fait valoir qu’il n’a pas eu l’occasion de se déterminer devant le Tribunal des mesures de contrainte sur les éléments nouveaux invoqués par le Ministère public et postérieurs à l’ordonnance attaquée, et qu’à ce titre, il ne peut pas en être tenu compte dans la présente procédure de recours. Cette opinion est mal fondée. La jurisprudence admet en effet la prise en compte de faits et de moyens de preuve nouveaux devant l'instance de recours (TF 1B_244/2014 du 20 janvier 2015 c. 3.1; TF 1B_768/2012 du 15 janvier 2013 c. 2.1), de sorte que la Cour de céans peut prendre en considération les éléments dont le procureur fait état dans ses déterminations (cf. CREP 1 er juin 2015/377).</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3.2</w:t>
      </w:r>
    </w:p>
    <w:p>
      <w:r>
        <w:t>En l’espèce, le recourant ne conteste pas véritablement – et avec raison – l’existence de présomptions suffisantes de culpabilité. On se limitera donc à rappeler qu’il est soupçonné d’avoir, depuis le printemps 2014, commis plusieurs vols, la majorité avec effraction, l’un d’eux sous forme de tentative, et dont il a retiré un butin variant tant dans sa nature que dans la valeur des biens soustraits. Il est également mis en cause pour avoir écoulé du matériel électronique volé et avoir servi d’intermédiaire pour des transactions de marijuana.</w:t>
      </w:r>
    </w:p>
    <w:p>
      <w:r>
        <w:rPr>
          <w:b/>
        </w:rPr>
        <w:t>E. 4</w:t>
      </w:r>
    </w:p>
    <w:p>
      <w:r>
        <w:t>L’ordonnance attaquée se fonde sur le risque de récidive.</w:t>
      </w:r>
    </w:p>
    <w:p>
      <w:r>
        <w:rPr>
          <w:b/>
        </w:rPr>
        <w:t>E. 4.1</w:t>
      </w:r>
    </w:p>
    <w:p>
      <w:r>
        <w:t>Le maintien en détention provisoire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4.2</w:t>
      </w:r>
    </w:p>
    <w:p>
      <w:r>
        <w:t>En l’espèce, l’extrait du casier judiciaire du recourant, né le 30 avril 1996, comporte deux condamnations prononcées par le Ministère public de l’arrondissement du Nord vaudois, l’une du 13 novembre 2014, pour vol, dommages à la propriété et violation de domicile entre autres, à une peine pécuniaire de 180 jours-amende à 30 fr. le jour, avec sursis partiel, avec délai d’épreuve de trois ans, l’autre du 26 janvier 2015, pour vol, dommages à la propriété et violation de domicile ainsi que pour diverses infractions à la législation routière, à 60 jours de peine privative de liberté, sous déduction d’un jour de détention provisoire. Ces précédentes condamnations, en particulier la peine privative de liberté ferme qui lui a été infligée, n’ont manifestement pas eu pour effet de le détourner de toute activité délictueuse. Il convient encore de tenir compte de la précarité de la situation dans laquelle se trouve le recourant, qui est célibataire, sans emploi et sans domicile fixe. Il n’est ainsi que trop vraisemblable qu’en cas d’élargissement, le recourant, pour s’assurer de moyens d’existence suffisants, commette de nouvelles infractions contre le patrimoine. De plus, on peut admettre que les actes délictueux, dont la réitération est redoutée, sont de nature à compromettre sérieusement l’ordre public, au sens de l’art. 221 al. 1 let. c CPP. Au cours d’un cambriolage, en effet, la situation peut dégénérer ; la réaction d’un cambrioleur peut être imprévisible et il n’est pas exclu qu’il s’en prenne physiquement à des tiers s’il rencontre de la résistance pour échapper à son interpellation ou sous l’effet de la panique (cf. TF 1B_731/2011 du 16 janvier 2012 c. 3.3, relatif à des cambriolages ; CREP 20 janvier 2014/28, qui concerne également de multiples vols avec effraction ; CREP 6 janvier 2014/2 c. 3b ; CREP 18 juillet 2013/435 c. 3). Enfin, le maintien en détention provisoire en raison du risque de réitération se justifie également pour éviter que, en violation du principe de la célérité, la procédure ne soit sans cesse prolongée par la commission de nouveaux délits (TF 1B_344/2012 du 19 juin 2012 c. 3.2). Il est fort probable, en effet, au vu des éléments qui précèdent, que le recourant, une fois remis en liberté, recommence ses actes répréhensibles.</w:t>
      </w:r>
    </w:p>
    <w:p>
      <w:r>
        <w:rPr>
          <w:b/>
        </w:rPr>
        <w:t>E. 5</w:t>
      </w:r>
    </w:p>
    <w:p>
      <w:r>
        <w:t>Pour le surplus, le principe de la proportionnalité des intérêts en présence est respecté. Le recourant est en effet détenu provisoirement depuis moins d’un mois. Compte tenu des actes qui lui sont reprochés, de la récidive et de ses antécédents, il encourt une peine privative de liberté supérieure à la durée de la détention subie, si les faits qui lui sont imputés étaient avérés. En outre, il est exposé à devoir purger la peine privative de liberté de 60 jours infligée par ordonnance pénale du 26 janvier 2015 (ATF 133 I 168 c. 4.1; ATF 132 I 21 c. 4.1).</w:t>
      </w:r>
    </w:p>
    <w:p>
      <w:r>
        <w:rPr>
          <w:b/>
        </w:rPr>
        <w:t>E. 6</w:t>
      </w:r>
    </w:p>
    <w:p>
      <w:r>
        <w:t>Il résulte de ce qui précède que le recours doit être rejeté et l’ordonnance du 27 mai 2015 confirmée. Les frais de la procédure de recours, constitués en l’espèce de l’émolument d'arrêt, par 660 fr. (art. 20 al. 1 TFIP [tarif des frais de procédure et indemnités en matière pénale; RSV 312.03.1]) et des frais imputables à la défense d’office (art. 422 al. 1 et 2 let. a CPP), fixés à 720 fr., plus la TVA par 57 fr. 60, soit un total de 777 fr. 60, seront mis à la charge de Q.________,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rejeté. II. L’ordonnance du 27 mai 2015 est confirmée. III. L'indemnité allouée au défenseur d'office de Q.________ est fixée à 777 fr. 60 (sept cent septante-sept francs et soixante centimes). IV. Les frais d’arrêt, par 660 fr. (six cent soixante francs), ainsi que l’indemnité due au défenseur d’office du recourant, par 777 fr. 60 (sept cent septante-sept francs et soixante centimes), sont mis à la charge de Q.________. V. Le remboursement à l’Etat de l’indemnité allouée au chiffre III ci-dessus sera exigible pour autant que la situation économique de Q.________ se soit améliorée. VI. Le présent arrêt est exécutoire. Le président :               Le greffier : Du Le présent arrêt, dont la rédaction a été approuvée à huis clos, est notifié, par l'envoi d'une copie complète, à : - M. Guillaume Vionnet, avocat (pour Q.________), - Ministère public central, et communiqué à : - Mme la Présidente du Tribunal des mesures de contrainte, - M. le Procureur de l’arrondissement de Lausanne, - Centre de gendarmerie mobile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