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463 vom 12. Juni 2015</w:t>
      </w:r>
    </w:p>
    <w:p>
      <w:r>
        <w:t>VD Tribunal cantonal, 2015-06-12, FR</w:t>
      </w:r>
    </w:p>
    <w:p>
      <w:r>
        <w:rPr>
          <w:b/>
        </w:rPr>
        <w:t xml:space="preserve">Quelle: </w:t>
      </w:r>
      <w:r>
        <w:t>https://mcp.opencaselaw.ch/entscheid/vd_findinfo_D_cision___2015___463</w:t>
      </w:r>
    </w:p>
    <w:p>
      <w:r>
        <w:t>FR: VD_FINDINFO Décision / 2015 / 463 du 12 juin 2015</w:t>
      </w:r>
    </w:p>
    <w:p>
      <w:r>
        <w:t>IT: VD_FINDINFO Décision / 2015 / 463 del 12 giugno 2015</w:t>
      </w:r>
    </w:p>
    <w:p>
      <w:pPr>
        <w:pStyle w:val="Heading2"/>
      </w:pPr>
      <w:r>
        <w:t>Regeste</w:t>
      </w:r>
    </w:p>
    <w:p>
      <w:r>
        <w:t>CLASSEMENT DE LA PROCÉDURE, VOL{DROIT PÉNAL} | 139 ch. 1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l’ordonnance attaquée, approuvée par le Procureur général le 21 avril 2015, a été notifiée aux parties le 22 avril 2015 (PV des opérations, p. 2). Déposé le 1 er mai 2015, le recours a ainsi été interjeté en temps utile devant l’autorité compétente par la partie plaignante qui a qualité pour recourir (art. 382 al. 1 CPP). Interjeté de surcroît dans les formes prescrites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2.2</w:t>
      </w:r>
    </w:p>
    <w:p>
      <w:r>
        <w:t>P.________ soutient, dans son recours, que les prévenus se seraient engagés à lui "régler le tout" à leur retour de Tunisie, où la marchandise – d’une valeur estimée par le plaignant à 14'500 fr. – avait été expédiée et que, ne l'ayant pas fait, ils se seraient rendus coupables de vol.</w:t>
      </w:r>
    </w:p>
    <w:p>
      <w:r>
        <w:rPr>
          <w:b/>
        </w:rPr>
        <w:t>E. 2.2.1</w:t>
      </w:r>
    </w:p>
    <w:p>
      <w:r>
        <w:t>supra ). Force est dès lors de constater que les éléments constitutifs de vol au sens de l’art. 139 CP ne sont pas réunis. D'ailleurs, la compagne du plaignant, [...], qui était présente au moment du chargement de la marchandise par les prévenus, a elle-même reconnu, s'agissant des faits litigieux, qu'il n'y avait pas de vol (PV aud. 3, R. 7). Il en va de même, pour le surplus, de l'infraction d'abus de confiance au sens de l'art. 138 CP, mentionnée dans le rapport de police (P. 4, p. 6) et dans le procès-verbal d'audition du plaignant (PV aud. 4, R. 1). En effet, cette disposition  protège le droit de celui qui a confié les valeurs patrimoniales à ce que celles-ci soient utilisées dans le but qu’il a assigné et conformément aux instructions qu’il a données (ATF 129 IV 257 c. 2.2.1). Or en l'espèce, les objets litigieux n'ont pas été confiés par le plaignant pour la vente, mais étaient déjà vendus aux prévenus au sortir du dépôt, de sorte qu'on ne saurait reprocher à ces derniers d'avoir agi contrairement aux instructions reçues, ce qui suffit à exclure l'existence d'un abus de confiance. Il résulte de ce qui précède que c'est à bon droit que la Procureure a considéré qu’aucune infraction ne pouvait être retenue à l’encontre des prévenus et qu’elle a classé la procédure pénale dirigée contre eux. Le litige entre les parties apparaît donc plutôt comme étant de nature civile et le plaignant pourra, le cas échéant, s'adresser, à la juridiction civile s'il entend contester le prix convenu de la marchandise vendue.</w:t>
      </w:r>
    </w:p>
    <w:p>
      <w:r>
        <w:rPr>
          <w:b/>
        </w:rPr>
        <w:t>E. 2.2.2</w:t>
      </w:r>
    </w:p>
    <w:p>
      <w:r>
        <w:t>En l'espèce, il résulte tant des déclarations de P.________ (P. 5; PV aud. 4, R. 8) que de celles des prévenus (PV aud. 1, R. 7; PV aud. 2, R. 6) que ceux-ci avaient été autorisés à prendre de la marchandise stockée dans le dépôt de [...] pour la vendre (PV aud. 1, 2 et 4, R. 8), ce que le prénommé admet d'ailleurs dans son recours. Seuls le prix et le moment convenu pour son paiement divisent les parties. Le plaignant a expliqué que le prix devait être fixé après le chargement de la marchandise dans le camion (PV aud. 4, R. 6) et que les prévenus s'étaient engagés à le payer avant leur départ pour la Tunisie (P. 5, p. 2), ce qu'ils n'auraient pas fait, se limitant à lui remettre, après leur retour en Suisse, une somme de 1'500 fr. sur les 6'000 fr. convenus à ce moment-là (PV aud. 4, R. 8). Cela suffit à démontrer que le plaignant était d'accord avec la vente d'un certain nombre d'objets aux prévenus, pour un prix qui devait être fixé par la suite, selon le recourant, ou qui aurait plus ou moins été convenu avant pour 4'000 fr., selon N.________ (PV aud. 2, R. 6). Le recourant a même expliqué avoir laissé librement les clés de son dépôt à ce dernier pour qu'il puisse venir à sa guise chercher le matériel qui lui intéressait (P. 5, p. 2). Peu importe toutefois le prix convenu. Compte tenu des éléments susmentionnés et des circonstances dans lesquelles les prévenus sont entrés en possession du matériel en question, on ne saurait considérer qu'il y a eu soustraction d'une chose mobilière contre le gré de son propriétaire (c.</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Le montant de 550 fr. déjà versé par le recourant à titre de sûretés (art. 383 al. 1 CPP) sera imputé sur les frais mis à sa charge (art.</w:t>
      </w:r>
    </w:p>
    <w:p>
      <w:r>
        <w:rPr>
          <w:b/>
        </w:rPr>
        <w:t>E. 7</w:t>
      </w:r>
    </w:p>
    <w:p>
      <w:r>
        <w:t>TFIP). Par ces motifs, la Chambre des recours pénale prononce : I. Le recours est rejeté. II. L’ordonnance du 9 avril 2015 est confirmée. III. Les frais d’arrêt, par 770 fr. (sept cent septante francs), sont mis à la charge de P.________. IV. Le montant de 550 fr. (cinq cent cinquante francs) déjà versé par le recourant à titre de sûretés est imputé sur les frais mis à sa charge au chiffre III ci-dessus. V. L’arrêt est exécutoire. Le président :               Le greffier : Du Le présent arrêt, dont la rédaction a été approuvée à huis clos, est notifié, par l'envoi d'une copie complète, à : - M. P.________, - M. N.________,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