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461 vom 15. Juni 2015</w:t>
      </w:r>
    </w:p>
    <w:p>
      <w:r>
        <w:t>VD Tribunal cantonal, 2015-06-15, FR</w:t>
      </w:r>
    </w:p>
    <w:p>
      <w:r>
        <w:rPr>
          <w:b/>
        </w:rPr>
        <w:t xml:space="preserve">Quelle: </w:t>
      </w:r>
      <w:r>
        <w:t>https://mcp.opencaselaw.ch/entscheid/vd_findinfo_D_cision___2015___461</w:t>
      </w:r>
    </w:p>
    <w:p>
      <w:r>
        <w:t>FR: VD_FINDINFO Décision / 2015 / 461 du 15 juin 2015</w:t>
      </w:r>
    </w:p>
    <w:p>
      <w:r>
        <w:t>IT: VD_FINDINFO Décision / 2015 / 461 del 15 giugno 2015</w:t>
      </w:r>
    </w:p>
    <w:p>
      <w:pPr>
        <w:pStyle w:val="Heading2"/>
      </w:pPr>
      <w:r>
        <w:t>Regeste</w:t>
      </w:r>
    </w:p>
    <w:p>
      <w:r>
        <w:t>LIBÉRATION CONDITIONNELLE, MESURE THÉRAPEUTIQUE INSTITUTIONNELLE, PROLONGATION | 59 CP, 62d CP, 26 LEP, 38 LEP</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qui satisfait aux conditions de forme posées par l’art. 385 al. 1 CPP.</w:t>
      </w:r>
    </w:p>
    <w:p>
      <w:r>
        <w:rPr>
          <w:b/>
        </w:rPr>
        <w:t>E. 2</w:t>
      </w:r>
    </w:p>
    <w:p>
      <w:r>
        <w:t>CP).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Il convient également de tenir compte des effets positifs de la mesure dans l'intérêt de l'auteur (Dupuis et alii, Petit commentaire du Code pénal, Bâle 2012, nn. 7 ss ad art. 56 CP; TF 6B_517/2013 du 19 juillet 2013 c. 1.4.3).</w:t>
      </w:r>
    </w:p>
    <w:p>
      <w:r>
        <w:rPr>
          <w:b/>
        </w:rPr>
        <w:t>E. 2.1</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 1.3 et les références citées).</w:t>
      </w:r>
    </w:p>
    <w:p>
      <w:r>
        <w:rPr>
          <w:b/>
        </w:rPr>
        <w:t>E. 2.2</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conformément à l'art. 59 al. 4 CP (TF 6B_517/2013 du 19 juillet 2013 c. 1.1). Cette possibilité existe parce que les mesures thérapeutiques appliquées à des malades mentaux chroniques n'agissent souvent que très lentement (ATF 134 IV 315 c. 3.4.1 et les références citées). Lors de cet examen, le juge doit donner une importance accrue au respect du principe de la proportionnalité, d'autant plus que la prolongation revêt un caractère exceptionnel et qu'elle doit être particulièrement motivée (ATF 137 IV 201 c. 1.4; ATF 135 IV 139 c. 2.1; TF 6B_517/2013 du 19 juillet 2013 c. 1.1; Heer, in: Niggli/Wiprächtiger [éd.], Basler Kommentar, Strafrecht I, 3 e éd., Bâle 2013, n. 126 ad art. 59 CP).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w:t>
      </w:r>
    </w:p>
    <w:p>
      <w:r>
        <w:rPr>
          <w:b/>
        </w:rPr>
        <w:t>E. 2.3</w:t>
      </w:r>
    </w:p>
    <w:p>
      <w:r>
        <w:t>En l’espèce, il résulte des différents rapports d’expertises psychiat-riques établis, le dernier le 31 octobre 2013, que G.________ présente une schizophrénie paranoïde qui, associée à des traits antisociaux, entraîne une propen-sion significative à des actes hétéro-agressifs. Les experts ont relevé que le prénommé était dans le déni de sa maladie, expliquant ses symptômes par des phénomènes de nature mystique, et qu’il n’admettait pas l’utilité de son traitement médicamenteux. Le parcours thérapeutique de l’intéressé a comporté des phases d’amélioration, de rechute et même de décompensation. Des problèmes de dépen-dance, en particulier au cannabis, ont exacerbé sa symptomatologie psychotique et ses troubles du comportement. Depuis sa détention, l’intéressé n’a eu de cesse de proférer des menaces et de commettre des agressions à l’égard du personnel, contraignant les différents établissements l’ayant accueilli à multiplier les sanctions disciplinaires à son encontre. Les éléments figurant au dossier permettent de constater que le recourant se trouve toujours dans le déni de sa maladie, que la stabilité de son état psychique reste fragile et que la médication neuroleptique qu’il prend permet de limiter les symptômes de sa pathologie. L’évolution de G.________ – jugée complexe – n’a pas permis aux différents intervenants de se prononcer en faveur d’une ouverture de son régime de détention. Ainsi, dans son avis du 18 février 2014, la CIC a constaté que les symptômes de désorganisation psychique et de réactivité impulsive produits par la maladie mentale de G.________ dominaient l’ensemble de son comportement ; elle est arrivée à la conclusion qu’au vu de perspectives d’avenir préoccupantes, une prise en charge thérapeutique et psycho-éducative de la maladie psychotique de G.________ restait nécessaire. De même, dans ses rapports des 13 novembre et 22 décembre 2014, la Direction de Curabilis a estimé que l’intéressé n’était pas accessible pour l’heure à une ouverture de son régime de détention, compte tenu d’un risque de fuite important, de son comportement violent, de ses menaces récurrentes d’utiliser la violence pour arriver à ses fins et de son absence d’intégration dans la logique des soins propre à l’institution. G.________ ayant refusé de délier les thérapeutes de l’Etablissement Curabilis du secret médical, ni la CIC ni les autorités judiciaires appelées à statuer ne disposent de toutes les informa-tions nécessaires à l’examen du déroulement du traitement dont l’intéressé a bénéficié à Curabilis depuis juillet 2014. Dans son rapport du 20 janvier 2015, la CIC a confirmé qu’aucune ouverture de régime n’était d’actualité, dans l’attente de nouveaux éléments d’observation. Compte tenu des éléments figurant dans le dossier, il convient d’admettre que le risque de récidive d’actes de violence, tant verbale que physique, demeure élevé, surtout au vu du déni du recourant de sa pathologie et de son incompréhension de la nécessité de sa médication neuroleptique. Ainsi, en l’absence de pronostic favorable quant au comportement futur de G.________ et au vu de l’instabilité de sa situation psychique, une libération conditionnelle – laquelle irait à l’encontre de tous les avis recueillis – doit être considérée comme prématurée. Avec le Juge d’application des peines, la Cour de céans considère que le travail thérapeutique commencé il y a un peu moins d’un an à l’Etablissement Curabilis, et sur lequel on dispose de peu d’informations à l’heure actuelle, conserve tout son sens et doit se poursuivre. La prolongation de la mesure thérapeutique institutionnelle se justifie donc. Une durée de deux ans n’apparaît pas dispropor-tionnée au vu du risque de récidive et du tableau clinique que présente le recourant, qui reste tributaire d’un encadrement socio-médical étroit, ainsi que d’une médication au long cours, étant précisé que le traitement vise à améliorer l'état de santé de l’intéressé et produit donc aussi des effets positifs dans son intérêt.</w:t>
      </w:r>
    </w:p>
    <w:p>
      <w:r>
        <w:rPr>
          <w:b/>
        </w:rPr>
        <w:t>E. 2.4</w:t>
      </w:r>
    </w:p>
    <w:p>
      <w:r>
        <w:t>Dans ces circonstances, c’est à raison que le Juge d’application des peines a refusé d’accorder à G.________ la libération conditionnelle de la mesure thérapeutique institutionnelle au sens de l’art. 59 CP et qu’il a prolongé ladite mesure pour une durée de deux ans.</w:t>
      </w:r>
    </w:p>
    <w:p>
      <w:r>
        <w:rPr>
          <w:b/>
        </w:rPr>
        <w:t>E. 3</w:t>
      </w:r>
    </w:p>
    <w:p>
      <w:r>
        <w:t>Le recours, manifestement mal fondé, doit être rejeté sans autres échanges d'écritures (art. 390 al. 2 CPP) et l’ordonnance attaquée confirmée. Les frais de la procédure de recours, constitués en l’espèce de l'émolu-ment d'arrêt (art. 422 al. 1 CPP), par 1’430 fr. (art. 20 al. 1 TFIP [tarif des frais de procédure et indemnités en matière pénale; RSV 312.03.1]), et des frais imputables à la défense d’office (art. 422 al. 1 et 2 let. a CPP), fixés à 630 fr., plus la TVA par 50 fr. 40, soit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23 avril 2015 est confirmée. III. L'indemnité allouée au défenseur d'office de G.________ est fixée à 680 fr. 40 (six cent huitante francs et quarante centimes). IV. Les frais d'arrêt, par 1'430 fr. (mille quatre cent trente francs), ainsi que l'indemnité due au défenseur d'office de G.________, par 680 fr. 40 (six cent huitante francs et quarante centimes), sont mis à la charge de ce dernier. V. Le remboursement à l'Etat de l'indemnité allouée au chiffre III ci-dessus sera exigible pour autant que la situation économique de G.________ se soit améliorée. VI. Le présent arrêt est exécutoire. Le président :               La greffière : Du Le présent arrêt, dont la rédaction a été approuvée à huis clos, est notifié, par l'envoi d'une copie complète, à : - M. Quentin Beausire, avocat (pour G.________), - Ministère public central, et communiqué à : ‑ Mme le Juge d’application des peines, - M. [...], OCTP, - Office d’exécution des peines (réf. : OEP/MES/20635/AVI/AM), - Etablissement Curabilis.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