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458 vom 17. Juni 2015</w:t>
      </w:r>
    </w:p>
    <w:p>
      <w:r>
        <w:t>VD Tribunal cantonal, 2015-06-17, FR</w:t>
      </w:r>
    </w:p>
    <w:p>
      <w:r>
        <w:rPr>
          <w:b/>
        </w:rPr>
        <w:t xml:space="preserve">Quelle: </w:t>
      </w:r>
      <w:r>
        <w:t>https://mcp.opencaselaw.ch/entscheid/vd_findinfo_D_cision___2015___458</w:t>
      </w:r>
    </w:p>
    <w:p>
      <w:r>
        <w:t>FR: VD_FINDINFO Décision / 2015 / 458 du 17 juin 2015</w:t>
      </w:r>
    </w:p>
    <w:p>
      <w:r>
        <w:t>IT: VD_FINDINFO Décision / 2015 / 458 del 17 giugno 2015</w:t>
      </w:r>
    </w:p>
    <w:p>
      <w:pPr>
        <w:pStyle w:val="Heading2"/>
      </w:pPr>
      <w:r>
        <w:t>Regeste</w:t>
      </w:r>
    </w:p>
    <w:p>
      <w:r>
        <w:t>DÉTENTION PROVISOIRE, RISQUE DE COLLUSION, MESURE DE SUBSTITUTION À LA DÉTENTION, PROPORTIONNALITÉ | 221 al. 1 let. b CPP (CH), 237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w:t>
      </w:r>
    </w:p>
    <w:p>
      <w:r>
        <w:rPr>
          <w:b/>
        </w:rPr>
        <w:t>E. 2</w:t>
      </w:r>
    </w:p>
    <w:p>
      <w:r>
        <w:t>Le recourant – à raison – ne conteste pas les soupçons de culpabilité à son encontre. Ceux-ci se sont même renforcés depuis l'arrêt de la Cour de céans du 12 février 2015. En effet, les analyses bancaires – portant sur divers comptes ouverts par le prévenu – effectuées depuis lors ont permis l'identification de lésés supplémentaires et le recourant a fait l’objet de nouvelles plaintes pénales. Or le mode opératoire décrit dans ces plaintes est rigoureusement similaire à celui précédemment mis à jour par la police, comme le Procureur l'a clairement mis en évidence dans sa prise de position du 29 mai 2015.</w:t>
      </w:r>
    </w:p>
    <w:p>
      <w:r>
        <w:rPr>
          <w:b/>
        </w:rPr>
        <w:t>E. 3.1</w:t>
      </w:r>
    </w:p>
    <w:p>
      <w:r>
        <w:t>Le recourant conteste l’existence des risques de collusion et de réitération (art. 221 al. 1 let. b et c CPP).</w:t>
      </w:r>
    </w:p>
    <w:p>
      <w:r>
        <w:rPr>
          <w:b/>
        </w:rPr>
        <w:t>E. 3.2</w:t>
      </w:r>
    </w:p>
    <w:p>
      <w:r>
        <w:t>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 Kuhn/Jeanneret (éd.), Commentaire romand, Code de procédure pénale suisse, Bâle 2011, nn. 14 et 15 ad art. 221 CPP; cf. ATF 137 IV 122 c. 6.2 et 6.4) – vise à garantir la constatation exacte et complète des faits.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 TF 1B_55/2010 du 11 mars 2010 c. 3.1 et les références citées).</w:t>
      </w:r>
    </w:p>
    <w:p>
      <w:r>
        <w:rPr>
          <w:b/>
        </w:rPr>
        <w:t>E. 3.3</w:t>
      </w:r>
    </w:p>
    <w:p>
      <w:r>
        <w:t>En l’espèce, le Procureur doit encore entendre les avocats avec lesquels N.________ a été en relation (déterminations du 29 mai 2015, p. 6 in initio ). Or il existe un risque concret qu'en cas de libération, le prévenu entrave l'instruction en prenant contact avec ces avocats, dès lors qu'il a, par le passé, déjà cherché à les contacter (P. 146, 226 et 227); quoi qu'en dise le recourant (recours, p. 6, par. 2), on ne peut exclure que ces derniers acceptent d'être en contact avec lui s'il devait être libéré. Par ailleurs, des mesures d'investigation sont en cours au sujet d'un compte en Allemagne dont le prévenu avait tu l'existence lors de son audition du 12 février 2015 (PV aud. 17) et il est probable que l'analyse des données de ce compte rende d'autres mesures d'investigation nécessaires. Il en va de même pour l'examen des données informatiques saisies dont l'extraction est actuellement en cours (P. 139; PV des opérations du 20 février 2015). Il faut donc éviter que le recourant n’entrave l’instruction en faisant disparaître des preuves et en prenant contact avec d'autres lésés ou même avec certains de ses clients "satisfaits", dont l'intéressé, par son conseil, devra d'ailleurs fournir une liste, comme il l'avait lui-même demandé (PV aud. 17, lignes 81 ss), ce qui permettra de déterminer l'ampleur de ses activités. Comme l’a relevé à juste titre le Ministère public dans ses déterminations, le risque est d’autant plus concret que le recourant, lors de la première phase de l’enquête, avait exhorté les plaignants à annuler leurs auditions devant la police. Au vu de ce qui précède, le risque de collusion est toujours d'actualité. Il s'oppose en l’état à la levée de la détention provisoire du recourant. L'existence de ce risque dispense d’examiner si la détention provisoire s’impose également en raison du risque de récidive.</w:t>
      </w:r>
    </w:p>
    <w:p>
      <w:r>
        <w:rPr>
          <w:b/>
        </w:rPr>
        <w:t>E. 4.1</w:t>
      </w:r>
    </w:p>
    <w:p>
      <w:r>
        <w:t>Le recourant invoque une violation du principe de la proportionnalité.</w:t>
      </w:r>
    </w:p>
    <w:p>
      <w:r>
        <w:rPr>
          <w:b/>
        </w:rPr>
        <w:t>E. 4.2</w:t>
      </w:r>
    </w:p>
    <w:p>
      <w:r>
        <w:t>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outre, en application du principe de la proportionnalité posé par l’art. 197 al. 1 let. c CPP — aux termes duquel les mesures de contrainte ne peuvent être prises que si les buts poursuivis ne peuvent pas être atteints par des mesures moins sévères —, l’art. 212 al. 2 let. c CPP prévoit que les mesures de contrainte entraînant une privation de liberté doivent être levées dès que des mesures de substitution permettent d’atteindre le même but. A cet égard,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Selon l’art. 237 al. 1 CPP, font notamment partie des mesures de substitution: (a) la fourniture de sûretés; (b) la saisie des documents d’identité et autres documents officiels; (c) l’assignation à résidence ou l’interdiction de se rendre dans un certain lieu ou un certain immeuble; (d) l’obligation de se présenter régulièrement à un service administratif; (e) l’obligation d’avoir un travail régulier; (f) l’obligation de se soumettre à un traitement médical ou à des contrôles; (g) l’interdiction d’entretenir des relations avec certaines personnes.</w:t>
      </w:r>
    </w:p>
    <w:p>
      <w:r>
        <w:rPr>
          <w:b/>
        </w:rPr>
        <w:t>E. 4.3</w:t>
      </w:r>
    </w:p>
    <w:p>
      <w:r>
        <w:t>En l’espèce, le prévenu est détenu depuis le 29 janvier 2015, soit depuis environ quatre mois et demi. Compte tenu des actes qui lui sont reprochés, le recourant s'expose à une peine privative de liberté d’une durée manifestement supérieure à celle de la détention provisoire subie à ce jour.</w:t>
      </w:r>
    </w:p>
    <w:p>
      <w:r>
        <w:rPr>
          <w:b/>
        </w:rPr>
        <w:t>E. 4.4</w:t>
      </w:r>
    </w:p>
    <w:p>
      <w:r>
        <w:t>Pour le reste, les mesures de substitution proposées par N.________, qui consistent notamment à se voir interdire, sous la menace de la peine prévue par l'art. 292 CP, de prendre contact avec les personnes concernées par la procédure, sont manifestement insuffisantes pour parer au risque de collusion retenu. Il suffit de rappeler à cet égard, comme on l'a relevé ci-dessus (c. 3.3), que le prénommé a tenté de faire pression sur les personnes à entendre malgré les avertissements reçus de la part du Procureur et qu'alors même qu'il était en détention et qu'il devait savoir que sa correspondance était surveillée, il est intervenu auprès des avocats concernés. Il est donc évident qu'une simple interdiction, fût-elle assortie de la menace de la peine prévue par l'art. 292 CP, ne suffira pas à prévenir le risque de collusion. Au vu de ces éléments, le principe de la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de N.________ ne sera toutefois exigible que pour autant que la situation économique de ce dernier se soit améliorée (art. 135 al. 4 CPP). Par ces motifs, la Chambre des recours pénale prononce : I. Le recours est rejeté. II. L’ordonnance du 5 juin 2015 est confirmée. III. L’indemnité allouée au défenseur d’office de N.________ est fixée à 680 fr. 40 (six cent huitante francs et quarante centimes). IV. Les frais d’arrêt, par 880 fr. (huit cent huitante francs), ainsi que l’indemnité due au défenseur d’office de N.________, par 680 fr. 40 (six cent huitante francs et quarante centimes), sont mis à la charge de ce dernier. V. Le remboursement à l'Etat de l'indemnité allouée au chiffre III ci-dessus ne sera exigible que pour autant que la situation économique de N.________ se soit améliorée. VI. Le présent arrêt est exécutoire. Le président :               Le greffier : Du Le présent arrêt, dont la rédaction a été approuvée à huis clos, est notifié, par l'envoi d'une copie complète, à : - M. Matthieu Genillod, avocat (pour N.________),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