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453 vom 16. Juni 2015</w:t>
      </w:r>
    </w:p>
    <w:p>
      <w:r>
        <w:t>VD Tribunal cantonal, 2015-06-16, FR</w:t>
      </w:r>
    </w:p>
    <w:p>
      <w:r>
        <w:rPr>
          <w:b/>
        </w:rPr>
        <w:t xml:space="preserve">Quelle: </w:t>
      </w:r>
      <w:r>
        <w:t>https://mcp.opencaselaw.ch/entscheid/vd_findinfo_D_cision___2015___453</w:t>
      </w:r>
    </w:p>
    <w:p>
      <w:r>
        <w:t>FR: VD_FINDINFO Décision / 2015 / 453 du 16 juin 2015</w:t>
      </w:r>
    </w:p>
    <w:p>
      <w:r>
        <w:t>IT: VD_FINDINFO Décision / 2015 / 453 del 16 giugno 2015</w:t>
      </w:r>
    </w:p>
    <w:p>
      <w:pPr>
        <w:pStyle w:val="Heading2"/>
      </w:pPr>
      <w:r>
        <w:t>Regeste</w:t>
      </w:r>
    </w:p>
    <w:p>
      <w:r>
        <w:t>DÉTENTION POUR DES MOTIFS DE SÛRETÉ, RISQUE DE RÉCIDIVE, RISQUE DE FUITE, PROPORTIONNALITÉ | 221 al. 1 let. a CPP (CH),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la Cour de céans a minutieusement examiné cette question dans son arrêt du 10 mars 2015 et s’y réfère. Elle relève en particulier que les messages extraits des téléphones portables de H.________ et N.________ mettent clairement en cause le recourant, de même que les relevés bancaires et postaux des victimes. Ainsi, il existe une présomption suffisamment sérieuse de culpabilité à l’encontre du recourant.</w:t>
      </w:r>
    </w:p>
    <w:p>
      <w:r>
        <w:rPr>
          <w:b/>
        </w:rPr>
        <w:t>E. 3.1</w:t>
      </w:r>
    </w:p>
    <w:p>
      <w:r>
        <w:t>Le recourant conteste l’existence d’un risque de fuite (art. 221 al. 1 let. a CPP).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 En l’espèce, la Cour de céans se réfère dans leur intégralité aux considérants qu'elle a développés dans son arrêt du 10 mars 2015, qui conservent leur pertinence en l’absence d’éléments nouveaux. Ce procédé est admissible au regard des exigences du droit d’être entendu (TF 1B_149/2010 du 1 er juin 2010 c. 1.3; CREP 23 octobre 2012/634). Le risque de fuite est dès lors manifestement réalisé.</w:t>
      </w:r>
    </w:p>
    <w:p>
      <w:r>
        <w:rPr>
          <w:b/>
        </w:rPr>
        <w:t>E. 3.2</w:t>
      </w:r>
    </w:p>
    <w:p>
      <w:r>
        <w:t>Le recourant conteste le risque de récidive (art. 221 al. 1 let. c CPP).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l’espèce, la Cour de céans se réfère à nouveau aux considérants de son arrêt du 10 mars 2015 pour retenir un risque concret de récidive. Aucun élément nouveau ne vient mettre en cause cette appréciation. En l’état, force est dès lors d’admettre que le risque de récidive doit toujours être considéré comme majeur.</w:t>
      </w:r>
    </w:p>
    <w:p>
      <w:r>
        <w:rPr>
          <w:b/>
        </w:rPr>
        <w:t>E. 3.3</w:t>
      </w:r>
    </w:p>
    <w:p>
      <w:r>
        <w:t>Le recourant conteste en outre le risque de collusion (art. 221 al. 1 let. b CPP), qui n’a toutefois pas été retenu par le premier juge.</w:t>
      </w:r>
    </w:p>
    <w:p>
      <w:r>
        <w:rPr>
          <w:b/>
        </w:rPr>
        <w:t>E. 4</w:t>
      </w:r>
    </w:p>
    <w:p>
      <w:r>
        <w:t>Au vu de la situation personnelle du recourant, aucune mesure de substitution n’est à même de prévenir les risques retenus. En particulier l’engagement de ne pas prendre contact avec les parties à la procédure ni de s’approcher à moins de 150 mètres de ces dernières, le dépôt des documents d’identité ainsi que l’engagement de se présenter régulièrement, respectivement une fois par semaine, dans un poste de la police cantonale vaudoise ne sont pas de nature à parer efficacement aux risques de fuite et de récidive. Le maintien de Q.________ en détention provisoire est ainsi justifié.</w:t>
      </w:r>
    </w:p>
    <w:p>
      <w:r>
        <w:rPr>
          <w:b/>
        </w:rPr>
        <w:t>E. 5.1</w:t>
      </w:r>
    </w:p>
    <w:p>
      <w:r>
        <w:t>Le recourant invoque une violation du principe de la proportionnalité (art. 212 al. 3 CPP).</w:t>
      </w:r>
    </w:p>
    <w:p>
      <w:r>
        <w:rPr>
          <w:b/>
        </w:rPr>
        <w:t>E. 5.2</w:t>
      </w:r>
    </w:p>
    <w:p>
      <w:r>
        <w:t>Il y a lieu de relever que la proportionnalité de la détention pour des motifs de sûreté doit être examinée au regard de l’ensemble des circonstances concrètes du cas d’espèce (ATF 133 I 168 c. 4.1 et les arrêts cités). A cet égard, il est admis que le juge peut maintenir la détention avant jugement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5.3</w:t>
      </w:r>
    </w:p>
    <w:p>
      <w:r>
        <w:t>En l’espèce, Q.________ est détenu depuis le 21 juin 2014, soit depuis près d’une année. Il est renvoyé devant le Tribunal correctionnel de l’arrondissement de Lausanne pour escroquerie, utilisation frauduleuse d'un ordinateur, extorsion et chantage qualifiés et menaces. Compte tenu de la gravité des charges qui pèsent contre lui et de ses lourds antécédents, le recourant s’expose à une peine privative de liberté d’une durée encore supérieure à celle de la détention avant jugement subie à ce jour, l'audience de jugement ayant été agendée aux 12 et 13 octobre 2015. Au vu de ces éléments, le principe de la proportionnalité de la détention pour des motifs de sûreté demeure respecté.</w:t>
      </w:r>
    </w:p>
    <w:p>
      <w:r>
        <w:rPr>
          <w:b/>
        </w:rPr>
        <w:t>E. 6</w:t>
      </w:r>
    </w:p>
    <w:p>
      <w:r>
        <w:t>Il résulte de ce qui précède que le recours, manifestement mal fondé, doit être rejeté sans autres échanges d’écritures (art. 390 al. 2 CPP). Les frais de la procédure de recours, constitués en l’espèce du seul émolument d'arrêt, par 880 fr. (art. 20 al. 1 [tarif des frais judiciaires de procédure et indemnités en matière pénale du 28 septembre 2010; RSV 312.03.1]), seront mis à la charge de Q.________, qui succombe (art. 428 al. 1 CPP). Par ces motifs, la Chambre des recours pénale prononce : I. Le recours est rejeté. II. L’ordonnance du 2 juin 2015 est confirmée. III. Les frais du présent arrêt, par 880 fr. (huit cent huitante francs), sont mis à la charge de Q.________. IV. Le présent arrêt est exécutoire. Le président :               La greffière : Du Le présent arrêt, dont la rédaction a été approuvée à huis clos, est notifié, par l'envoi d'une copie complète, à : - M. Q.________, - Ministère public central, et communiqué à : - Mme la Présidente du Tribunal des mesures de contrainte, - Mme la Procureure de l’arrondissement de Lausanne, - Tribunal correctionnel de l’arrondissement de Lausanne, ‑ M. Jeton Kryeziu, avocat (pour Q.________), - M. François Gillard, avocat (pour H.________),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