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446 vom 10. Juni 2015</w:t>
      </w:r>
    </w:p>
    <w:p>
      <w:r>
        <w:t>VD Tribunal cantonal, 2015-06-10, FR</w:t>
      </w:r>
    </w:p>
    <w:p>
      <w:r>
        <w:rPr>
          <w:b/>
        </w:rPr>
        <w:t xml:space="preserve">Quelle: </w:t>
      </w:r>
      <w:r>
        <w:t>https://mcp.opencaselaw.ch/entscheid/vd_findinfo_D_cision___2015___446</w:t>
      </w:r>
    </w:p>
    <w:p>
      <w:r>
        <w:t>FR: VD_FINDINFO Décision / 2015 / 446 du 10 juin 2015</w:t>
      </w:r>
    </w:p>
    <w:p>
      <w:r>
        <w:t>IT: VD_FINDINFO Décision / 2015 / 446 del 10 giugno 2015</w:t>
      </w:r>
    </w:p>
    <w:p>
      <w:pPr>
        <w:pStyle w:val="Heading2"/>
      </w:pPr>
      <w:r>
        <w:t>Regeste</w:t>
      </w:r>
    </w:p>
    <w:p>
      <w:r>
        <w:t>FRAIS JUDICIAIRES, PLAIGNANT, PROCÉDÉ TÉMÉRAIRE | 427 al. 2 CPP (CH)</w:t>
      </w:r>
    </w:p>
    <w:p>
      <w:pPr>
        <w:pStyle w:val="Heading2"/>
      </w:pPr>
      <w:r>
        <w:t>Erwägungen</w:t>
      </w:r>
    </w:p>
    <w:p>
      <w:r>
        <w:rPr>
          <w:b/>
        </w:rPr>
        <w:t>E. 1.1</w:t>
      </w:r>
    </w:p>
    <w:p>
      <w:r>
        <w:t>Interjeté dans le délai légal (art. 322 al. 2 et 396 al. 1 CPP [Code de procédure pénale suisse du 5 octobre 2007; RS 312.0]), contre une ordonnance de classement rendue par le Ministère public (art. 393 al. 1 let. a CPP) en application des art. 319 ss CPP, par la partie plaignante qui a qualité pour recourir (art. 382 al. 1 CPP) et dans les formes prescrites (art. 385 al. 1 CPP),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la recourante ne conteste pas le classement en lui-même, mais uniquement la mise à sa charge d’une partie des frais de procédure, par 3'000 francs. La valeur litigieuse place donc le recours dans la compétence d’un juge unique de la Chambre des recours pénale (art. 395 let. b CPP; Juge unique CREP 19 mars 2015/201).</w:t>
      </w:r>
    </w:p>
    <w:p>
      <w:r>
        <w:rPr>
          <w:b/>
        </w:rPr>
        <w:t>E. 2</w:t>
      </w:r>
    </w:p>
    <w:p>
      <w:r>
        <w:t>CPP et qu’on laisse, exceptionnellement, les frais liés à l’instruction de l’infraction poursuivie sur plainte à la charge de l’Etat.</w:t>
      </w:r>
    </w:p>
    <w:p>
      <w:r>
        <w:rPr>
          <w:b/>
        </w:rPr>
        <w:t>E. 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(TF 6B_438/2013 c. 2.1 et les arrêts cités, not. ATF 138 IV 248 c. 4.2.2 et 4.2.3, JT 2013 IV 191).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 TF 6B_438/2013 c. 2.1 précité ; ATF 138 IV 248 précité, JT 2013 IV 191 c. 4.2.4 ; Domeisen, in: Niggli/Heer/Wiprächtiger [éd.], Basler Kommentar, Schweizerische Strafprozess-ordnung, Jugendstrafprozessordnung, Bâle 2014, n. 12 ad art. 427 CPP).</w:t>
      </w:r>
    </w:p>
    <w:p>
      <w:r>
        <w:rPr>
          <w:b/>
        </w:rPr>
        <w:t>E. 2.2</w:t>
      </w:r>
    </w:p>
    <w:p>
      <w:r>
        <w:t>En l’occurrence, l’instruction était notamment ouverte contre le prévenu pour utilisation frauduleuse d’un ordinateur au détriment de son épouse. Cette infraction, dans la mesure où elle est commise au préjudice d’un proche ou d’un familier, est poursuivie sur plainte exclusivement (art. 147 al. 3 CP). Or il n’est pas contesté que la recourante s’est constituée partie plaignante et qu’elle a activement pris part à la procédure, à tout le moins jusqu’à son retrait de plainte. Par conséquent, une partie des frais, soit celle liée à l’instruction de l’infraction poursuivie sur plainte, pouvait être mise à la charge de la recourante et cela indépendamment de tout comportement téméraire, en application de l’art. 427 al. 2 CPP (c. 2.1 supra ). Il ressort toutefois du dossier que l’intéressée souffre d’un retard mental léger, son QI étant estimé à 59 (P. 32), ce qui est par ailleurs admis (recours, p. 6). Il n’est dès lors pas certain qu’elle ait pu mesurer toutes les conséquences potentiellement liées au dépôt de sa plainte, en particulier le risque d’une mise des frais à sa charge. Cela justifie que l’on s’écarte de la solution prévue à l’art. 427 al.</w:t>
      </w:r>
    </w:p>
    <w:p>
      <w:r>
        <w:rPr>
          <w:b/>
        </w:rPr>
        <w:t>E. 3</w:t>
      </w:r>
    </w:p>
    <w:p>
      <w:r>
        <w:t>En conclusion, le recours doit être admis et l’ordonnance du 15 avril 2015 réformée au chiffre IV de son dispositif en ce sens que les frais de procédure sont intégralement laissés à la charge de l’Etat. Vu l’issue du recours, les frais de la procédure de recours, constitués en l’espèce de l’émolument d’arrêt (art. 422 al. 1 CPP), par 540 fr. (art. 20 al. 1 TFIP [tarif des frais de procédure et indemnités en matière pénale du 28 septembre 2010 ; RSV 312.03.1]), ainsi que de l'indemnité allouée au conseil juridique gratuit de B.E.________, fixée à 540  fr., plus la TVA par 43 fr. 20, soit au total 583 fr. 20, seront laissés à la charge de l’Etat. Par ces motifs, le juge unique prononce : I. Le recours est admis. II. L’ordonnance du 15 avril 2015 est réformée au chiffre IV de son dispositif en ce sens que les frais de procédure sont entièrement laissés à la charge de l’Etat. III. L'indemnité allouée au conseil juridique gratuit de B.E.________ est fixée à 583 fr. 20 (cinq cent huitante-trois francs et vingt centimes). IV. Les frais d’arrêt, par 540 fr. (cinq cent quarante francs), ainsi que l'indemnité allouée au conseil juridique gratuit de B.E.________, par 583 fr. 20 (cinq cent huitante-trois francs et vingt centimes), sont laissés à la charge de l’Etat. V. Le présent arrêt est exécutoire. Le juge unique :               Le greffier : Du Le présent arrêt, dont la rédaction a été approuvée à huis clos, est notifié, par l'envoi d'une copie complète, à : - M. Philippe Baudraz, avocat (pour B.E.________), - M. Georges Reymond, avocat (pour A.E.________),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