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444 vom 13. Mai 2015</w:t>
      </w:r>
    </w:p>
    <w:p>
      <w:r>
        <w:t>VD Tribunal cantonal, 2015-05-13, FR</w:t>
      </w:r>
    </w:p>
    <w:p>
      <w:r>
        <w:rPr>
          <w:b/>
        </w:rPr>
        <w:t xml:space="preserve">Quelle: </w:t>
      </w:r>
      <w:r>
        <w:t>https://mcp.opencaselaw.ch/entscheid/vd_findinfo_D_cision___2015___444</w:t>
      </w:r>
    </w:p>
    <w:p>
      <w:r>
        <w:t>FR: VD_FINDINFO Décision / 2015 / 444 du 13 mai 2015</w:t>
      </w:r>
    </w:p>
    <w:p>
      <w:r>
        <w:t>IT: VD_FINDINFO Décision / 2015 / 444 del 13 maggio 2015</w:t>
      </w:r>
    </w:p>
    <w:p>
      <w:pPr>
        <w:pStyle w:val="Heading2"/>
      </w:pPr>
      <w:r>
        <w:t>Regeste</w:t>
      </w:r>
    </w:p>
    <w:p>
      <w:r>
        <w:t>CITATION À COMPARAÎTRE, DÉFAUT{CONTUMACE}, ORDONNANCE DE CONDAMNATION, OPPOSITION{PROCÉDURE} | 355 al. 2 CPP (CH)</w:t>
      </w:r>
    </w:p>
    <w:p>
      <w:pPr>
        <w:pStyle w:val="Heading2"/>
      </w:pPr>
      <w:r>
        <w:t>Erwägungen</w:t>
      </w:r>
    </w:p>
    <w:p>
      <w:r>
        <w:rPr>
          <w:b/>
        </w:rPr>
        <w:t>E. 1</w:t>
      </w:r>
    </w:p>
    <w:p>
      <w:r>
        <w:t>CPP) devant l’autorité compétente par une partie qui a qualité pour recourir (art. 382 al. 1 CPP), de sorte qu’il est recevable.</w:t>
      </w:r>
    </w:p>
    <w:p>
      <w:r>
        <w:rPr>
          <w:b/>
        </w:rPr>
        <w:t>E. 2</w:t>
      </w:r>
    </w:p>
    <w:p>
      <w:r>
        <w:t>CPP.</w:t>
      </w:r>
    </w:p>
    <w:p>
      <w:r>
        <w:rPr>
          <w:b/>
        </w:rPr>
        <w:t>E. 2.1</w:t>
      </w:r>
    </w:p>
    <w:p>
      <w:r>
        <w:t>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Le défaut peut donc, en vertu de l'art. 355 al. 2 CPP, aboutir à une perte de toute protection juridique, nonobstant le fait que l'opposant ait précisément voulu une telle protection en formant opposition (ATF 140 IV 82 c. 2.4 ; TF 6B_1122/2013 du 6 mai 2014).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(TF 6B_471/2014 du 18 novembre 2014 c. 2.1 ; TF 6B_152/2013 du 27 mai 2013 c. 4.4 et 4.5 ; TF 6B_908/2013 du 20 mars 2014 c. 2.5).</w:t>
      </w:r>
    </w:p>
    <w:p>
      <w:r>
        <w:rPr>
          <w:b/>
        </w:rPr>
        <w:t>E. 2.2</w:t>
      </w:r>
    </w:p>
    <w:p>
      <w:r>
        <w:t>En l'espèce, il ressort du dossier que le mandat de comparution à l’audience du 3 mars 2015 a été adressé à V.________ sous pli recommandé du 24 décembre 2014. Ce pli a été retiré le 30 décembre 2014 à l'Office de poste de Romont. Ainsi, bien que valablement cité à comparaître, le recourant, qui a été rendu attentif aux conséquences d'un éventuel défaut selon l’indication claire mentionnée sur la citation à comparaître, ne s'est pas présenté à l'audience du 3 mars 2015 devant le Procureur, sans excuse. Il ne peut pas, comme il le fait dans son mémoire, prétendre avoir omis de retirer le pli contenant le mandat de comparution, puisque le suivi des envois de la poste établit le contraire. Lorsque, pour le surplus, le recourant tente d'expliquer son absence par une situation familiale difficile, il ne produit aucun justificatif à l'appui de ses allégations, de sorte que, même si le recourant avait saisi le Ministère public d'une requête de restitution de terme (art. 94 CPP), il n'aurait pu y être donné une suite favorable. L'opposition qu'il a formée le 18 décembre 2014 contre l’ordonnance pénale est ainsi réputée retirée, conformément à la fiction de l’art. 355 al. 2 CPP. C'est donc à juste titre que le Procureur a pris acte du retrait de l'opposition et a constaté que l'ordonnance pénale du 5 décembre 2014 devenait exécutoire. L’ordonnance du 4 mars 2015 échappe ainsi à la critique et doit être confirmée.</w:t>
      </w:r>
    </w:p>
    <w:p>
      <w:r>
        <w:rPr>
          <w:b/>
        </w:rPr>
        <w:t>E. 3</w:t>
      </w:r>
    </w:p>
    <w:p>
      <w:r>
        <w:t>En définitive, le recours, manifestement mal fondé, doit être rejeté et l’ordonnance du 4 mars 2015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mars 2015 est confirmée. III. Les frais de la procédure de recours, par 550 fr. (cinq cent cinquante francs), sont mis à la charge du recourant. IV. Le présent arrêt est exécutoire. Le président :               La greffière : Du Le présent arrêt, dont la rédaction a été approuvée à huis clos, est notifié, par l'envoi d'une copie complète, à : - M. V.________, - Mme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