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436 vom 8. Juni 2015</w:t>
      </w:r>
    </w:p>
    <w:p>
      <w:r>
        <w:t>VD Tribunal cantonal, 2015-06-08, FR</w:t>
      </w:r>
    </w:p>
    <w:p>
      <w:r>
        <w:rPr>
          <w:b/>
        </w:rPr>
        <w:t xml:space="preserve">Quelle: </w:t>
      </w:r>
      <w:r>
        <w:t>https://mcp.opencaselaw.ch/entscheid/vd_findinfo_D_cision___2015___436</w:t>
      </w:r>
    </w:p>
    <w:p>
      <w:r>
        <w:t>FR: VD_FINDINFO Décision / 2015 / 436 du 8 juin 2015</w:t>
      </w:r>
    </w:p>
    <w:p>
      <w:r>
        <w:t>IT: VD_FINDINFO Décision / 2015 / 436 del 8 giugno 2015</w:t>
      </w:r>
    </w:p>
    <w:p>
      <w:pPr>
        <w:pStyle w:val="Heading2"/>
      </w:pPr>
      <w:r>
        <w:t>Regeste</w:t>
      </w:r>
    </w:p>
    <w:p>
      <w:r>
        <w:t>RECTIFICATION{EN GÉNÉRAL}, DÉFENSE D'OFFICE, INDEMNITÉ{EN GÉNÉRAL}, TAXE SUR LA VALEUR AJOUTÉE | 83 CPP (CH)</w:t>
      </w:r>
    </w:p>
    <w:p>
      <w:pPr>
        <w:pStyle w:val="Heading2"/>
      </w:pPr>
      <w:r>
        <w:t>Volltext</w:t>
      </w:r>
    </w:p>
    <w:p>
      <w:r>
        <w:t>Vaud Tribunal cantonal Chambre des recours civile 08.06.2015 Décision / 2015 / 436</w:t>
      </w:r>
    </w:p>
    <w:p>
      <w:r>
        <w:t>RECTIFICATION{EN GÉNÉRAL}, DÉFENSE D'OFFICE, INDEMNITÉ{EN GÉNÉRAL}, TAXE SUR LA VALEUR AJOUTÉE | 83 CPP (CH)</w:t>
      </w:r>
    </w:p>
    <w:p>
      <w:r>
        <w:t>TRIBUNAL CANTONAL 385 PE12.021192-STL CHAMBRE DES RECOURS PENALE __________________________________________ Arrêt du 8 juin 2015 __________________ Composition :               M. Abrecht , président MM. Perrot et Maillard, juges Greffier :              M. Quach ***** Art. 83 al. 1 CPP Statuant sur la demande de rectification de la décision du 11 mai 2015 (n° 320) présentée le 27 mai 2015 par l'avocate D.________ dans la cause n° PE12.021192-STL , la Chambre des recours pénale considère : En fait et en droit : 1. Par décision du 11 mai 2015, la Cour de céans a admis une demande de récusation déposée par E.________ le 13 avril 2015 (I), a renvoyé le dossier de la cause au Ministère public pour qu'il désigne de nouveaux experts (II), a fixé à 583 fr. 20 l'indemnité due à l'avocate D.________, défenseur d'office de E.________ (III), a laissé à la charge de l'Etat l'émolument de décision, par 770 fr., ainsi que l'indemnité due au défenseur d'office de E.________, par 583 fr. 20 (IV), et a dit que la décision était exécutoire (V). Il ressort de la motivation de cette décision (c. 3) que l'indemnité due au défenseur d'office a été fixée à 540 fr., plus la TVA, par 43 fr. 20, ce qui a porté le montant alloué à 583 fr. 20. 2. Par courrier du 27 mai 2015, l'avocate D.________ a indiqué que son activité n'était pour le moment pas soumise à la TVA et a demandé la rectification en ce sens de la décision du 11 mai 2015. Par courrier du 4 juin 2015, le Ministère public de l’arrondissement de Lausanne a déclaré renoncer à se déterminer sur la demande de rectification. Il convient de donner suite cette demande, en application de l'art. 83 al. 1 CPP (cf. CREP 15 mars 2012/126; CREP 13 décembre 2011/544), et de modifier la décision concernée aux chiffres III et IV de son dispositif en ce sens que l'indemnité allouée au défenseur d'office de E.________ s’élève à 540 francs. 3. Le présent arrêt rectificatif est rendu sans frais. Par ces motifs, la Chambre des recours pénale prononce : I. La demande de rectification du 27 mai 2015 est admise. II. La décision du 11 mai 2015 est modifiée comme il suit aux chiffres III et IV de son dispositif : « III. L’indemnité due au défenseur d’office de E.________ est fixée à 540 fr. (cinq cent quarante francs). IV. L'émolument de décision, par 770 fr. (sept cent septante francs), ainsi que l’indemnité due au défenseur d’office de E.________, par 540 fr. (cinq cent quarante francs), sont laissés à la charge de l'Etat. » III. Le présent arrêt, rendu sans frais, est exécutoire. Le président :               Le greffier : Du Le présent arrêt, dont la rédaction a été approuvée à huis clos, est notifié, par l'envoi d'une copie complète, à : - Mme D.________, avocate (personnellement et pour E.________), - Ministère public central, et communiqué à : ‑ M. [...], - Mme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