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435 vom 9. Juni 2015</w:t>
      </w:r>
    </w:p>
    <w:p>
      <w:r>
        <w:t>VD Tribunal cantonal, 2015-06-09, FR</w:t>
      </w:r>
    </w:p>
    <w:p>
      <w:r>
        <w:rPr>
          <w:b/>
        </w:rPr>
        <w:t xml:space="preserve">Quelle: </w:t>
      </w:r>
      <w:r>
        <w:t>https://mcp.opencaselaw.ch/entscheid/vd_findinfo_D_cision___2015___435</w:t>
      </w:r>
    </w:p>
    <w:p>
      <w:r>
        <w:t>FR: VD_FINDINFO Décision / 2015 / 435 du 9 juin 2015</w:t>
      </w:r>
    </w:p>
    <w:p>
      <w:r>
        <w:t>IT: VD_FINDINFO Décision / 2015 / 435 del 9 giugno 2015</w:t>
      </w:r>
    </w:p>
    <w:p>
      <w:pPr>
        <w:pStyle w:val="Heading2"/>
      </w:pPr>
      <w:r>
        <w:t>Regeste</w:t>
      </w:r>
    </w:p>
    <w:p>
      <w:r>
        <w:t>DOMMAGE IRRÉPARABLE, DÉCISION D'IRRECEVABILITÉ, PLAIGNANT, PRÉVENU, CITATION À COMPARAÎTRE | 393 al. 1 let. b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(ATF 138 IV 193 c. 4.3.1 p. 195 s; ATF 140 IV 202 c. 2.1, SJ 2015 I 73). S’agissant des décisions relatives à la conduite de la procédure prises avant l'ouverture des débats, la jurisprudence a précisé qu'il convenait de limiter l'exclusion du recours à celles qui n'étaient pas susceptibles de causer un préjudice irréparable. A l'inverse, si la décision peut causer un préjudice irréparable, elle est en principe attaquable par la voie du recours prévu par l'art. 393 CPP (ATF 140 IV 202 c. 2.1, SJ 2015 I 73). Constitue un préjudice irréparable un dommage de nature juridique qui ne puisse pas être réparé ultérieurement par un jugement final ou une autre décision favorable au recourant (TF_6B 805/2014 du 20 octobre 2014; ATF 137 IV 172 c. 2.1).</w:t>
      </w:r>
    </w:p>
    <w:p>
      <w:r>
        <w:rPr>
          <w:b/>
        </w:rPr>
        <w:t>E. 1.2</w:t>
      </w:r>
    </w:p>
    <w:p>
      <w:r>
        <w:t>En l’espèce, le recours est dirigé contre une décision de la vice-présidente qui refuse de citer S.________ en qualité de prévenue également. Il s’agit donc d’une décision relative à la marche de la procédure qui n’est ainsi susceptible de recours que dans l’hypothèse où elle est susceptible de causer un préjudice irréparable (ATF 140 IV 202 c. 2.1, SJ 2015 I 73). La fixation des débats du 22 juin 2015 fait suite à la demande de nouveau jugement déposée par L.________. Lors de ceux-ci, le tribunal devra d’abord statuer sur cette demande (art. 369 al. 1 CPP). Si elle devait être rejetée, le défaut de convocation en qualité de prévenue de S.________ ne causerait aucun préjudice au recourant. Dans l’hypothèse où la demande de nouveau jugement serait admise, L.________ pourrait renouveler sa requête tendant à ce que S.________ soit également entendue en qualité de prévenue (art. 339 CPP). En cas de refus, le recourant pourrait encore faire valoir ce moyen dans le cadre d’un appel contre le jugement de fond. Il n’y a donc pas de risque de préjudice irréparable pour le recourant.</w:t>
      </w:r>
    </w:p>
    <w:p>
      <w:r>
        <w:rPr>
          <w:b/>
        </w:rPr>
        <w:t>E. 2</w:t>
      </w:r>
    </w:p>
    <w:p>
      <w:r>
        <w:t>Ainsi, dès lors que l’ordonnance attaquée ne cause pas de préjudice irréparable au recourant, le recours doit être déclaré irrecevable.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de la procédure de recours, par 440 fr. (quatre cent quarante francs), sont mis à la charge du recourant. III. Le présent arrêt est exécutoire. Le président :               La greffière : Du Le présent arrêt, dont la rédaction a été approuvée à huis clos, est notifié, par l'envoi d'une copie complète, à : - M. Pierre-Xavier Luciani, avocat (pour L.________), - M. Loïc Parein, avocat (pour S.________), - Ministère public central, et communiqué à : ‑ Mme la Vice-présidente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