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434 vom 9. Juni 2015</w:t>
      </w:r>
    </w:p>
    <w:p>
      <w:r>
        <w:t>VD Tribunal cantonal, 2015-06-09, FR</w:t>
      </w:r>
    </w:p>
    <w:p>
      <w:r>
        <w:rPr>
          <w:b/>
        </w:rPr>
        <w:t xml:space="preserve">Quelle: </w:t>
      </w:r>
      <w:r>
        <w:t>https://mcp.opencaselaw.ch/entscheid/vd_findinfo_D_cision___2015___434</w:t>
      </w:r>
    </w:p>
    <w:p>
      <w:r>
        <w:t>FR: VD_FINDINFO Décision / 2015 / 434 du 9 juin 2015</w:t>
      </w:r>
    </w:p>
    <w:p>
      <w:r>
        <w:t>IT: VD_FINDINFO Décision / 2015 / 434 del 9 giugno 2015</w:t>
      </w:r>
    </w:p>
    <w:p>
      <w:pPr>
        <w:pStyle w:val="Heading2"/>
      </w:pPr>
      <w:r>
        <w:t>Regeste</w:t>
      </w:r>
    </w:p>
    <w:p>
      <w:r>
        <w:t>NON-LIEU, QUALITÉ POUR AGIR ET RECOURIR, ADMISSION DE LA DEMANDE | 87 al. 3 LAVS, 76 al. 3 LPP</w:t>
      </w:r>
    </w:p>
    <w:p>
      <w:pPr>
        <w:pStyle w:val="Heading2"/>
      </w:pPr>
      <w:r>
        <w:t>Erwägungen</w:t>
      </w:r>
    </w:p>
    <w:p>
      <w:r>
        <w:rPr>
          <w:b/>
        </w:rPr>
        <w:t>E. 1</w:t>
      </w:r>
    </w:p>
    <w:p>
      <w:r>
        <w:t>CPP. Pour le surplus, le recours a été déposé en temps utile, de sorte qu’il est recevable.</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Aux termes de l’art. 382 al. 1 CPP, toute partie qui a un intérêt juridiquement protégé à l’annulation ou à la modification d’une décision a qualité pour recourir contre celle-ci. La notion de partie visée à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L’art. 118 CPP dispose qu’une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w:t>
      </w:r>
    </w:p>
    <w:p>
      <w:r>
        <w:rPr>
          <w:b/>
        </w:rPr>
        <w:t>E. 1.2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139 IV 78, c. 3.1 ; ATF 138 IV 258 c, 2.3 ; ATF 129 IV 95 c. 3.1 ; TF 6B_261/2014 du 4 décembre 2014, publié à l’ATF 141 IV 1, c. 3.1 ; CREP 13 septembre 2013/667 ; Perrier, in : Kuhn/Jeanneret (éd.), Commentaire romand, Code de procédure pénale suisse, Bâle 2011, nn. 8 et 11 ad art. 115 CPP). Aux termes de l’art. 76 al. 3 LPP, celui qui, en sa qualité d’employeur, aura déduit des cotisations du salaire d’un travailleur sans les affecter au but auquel elles étaient destinées sera puni, à moins qu’il ne s’agisse d’un délit ou d’un crime frappé d’une peine plus lourde par le code pénal, de l’emprisonnement pour six mois au plus ou d’une amende de 30’000 francs au plus. L’art. 66 al. 2 LPP dispose que l’employeur est débiteur de la totalité des cotisations envers l’institution de prévoyance. Celle-ci peut majorer d’un intérêt moratoire les cotisations payées tardivement.</w:t>
      </w:r>
    </w:p>
    <w:p>
      <w:r>
        <w:rPr>
          <w:b/>
        </w:rPr>
        <w:t>E. 1.3</w:t>
      </w:r>
    </w:p>
    <w:p>
      <w:r>
        <w:t>En l’espèce, l’infraction de l’art. 76 al. 3 LPP reprochée aux prévenus lèse directement le patrimoine de la recourante. Cette dernière est en effet créancière de la totalité des cotisations retenues par les prévenus sur les salaires de leurs employés (art. 66 al. 2 LPP). Celle-ci a par ailleurs déposé une plainte pénale (P. 4, p. 2) et non une simple dénonciation au sens de l’art. 301 al. 3 CPP, comme l’affirme à tort l’intimé K.________ dans ses déterminations. La recourante est ainsi bien partie plaignante, comme demandeur au pénal, au sens de l’art. 118 al. 1 CPP (CREP 18 juillet 2013/469 in JT 2013 III 188). Elle a dès lors qualité pour recourir au sens de l’art. 382 al.</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w:t>
      </w:r>
    </w:p>
    <w:p>
      <w:r>
        <w:t>La recourante reproche au Procureur d’avoir retenu à tort qu’il ne serait pas possible d’établir si les éléments constitutifs de l’infraction de l’art. 76 al. 3 LPP seraient réalisés et d’avoir refusé de mettre en œuvre des mesures d’instruction qu’il a jugé disproportionnées.</w:t>
      </w:r>
    </w:p>
    <w:p>
      <w:r>
        <w:rPr>
          <w:b/>
        </w:rPr>
        <w:t>E. 3.1</w:t>
      </w:r>
    </w:p>
    <w:p>
      <w:r>
        <w:t>Aux termes de l'art. 76 al. 3 LPP, celui qui, en sa qualité d'employeur, aura déduit des cotisations du salaire d'un travailleur sans les affecter au but auquel elles étaient destinées, sera puni, à moins qu’il ne s’agisse d’un délit ou d’un crime frappé d’une peine plus lourde par le code pénal, de l’emprisonnement pour six mois au plus ou d’une amende de 30’000 francs au plus. La réalisation de l’infraction visée par cette disposition suppose notamment que l'employeur ait eu les moyens de s'acquitter du montant des cotisations au moment où il a effectué la retenue (ATF 122 IV 270 c. 2c; ATF 117 IV 78 c. 2d/aa) et qu'il ait omis de transférer les cotisations échues à la dernière date possible (ATF 122 IV 270 c. 2c),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(cf. art. 66 al. 3 et 4 LPP).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(ATF 122 IV 270 c. 2c et les arrêts cités).</w:t>
      </w:r>
    </w:p>
    <w:p>
      <w:r>
        <w:rPr>
          <w:b/>
        </w:rPr>
        <w:t>E. 3.2</w:t>
      </w:r>
    </w:p>
    <w:p>
      <w:r>
        <w:t>En l’espèce, le Procureur, se référant à la jurisprudence rappelée ci-dessus, a considéré qu’il n’était pas possible de déterminer si la société B.________ SA disposait, lors du versement des salaires en 2008, des fonds nécessaires au paiement des charges sociales et qu’on ignorait tout de la situation qui prévalait à cette époque. Par courrier du 21 mars 2014 (P. 38/1), l’intimé K.________ lui avait cependant affirmé que la société B.________ SA avait toujours disposé des moyens d’assurer le règlement de l’ensemble des arriérés dus aux institutions de prévoyance au cours des années 2008 et 2009, dans la mesure où la société disposait d’un bien immobilier dont la valeur nette, telle qu’estimée par l’Office des faillites de Morges en 2009, s’élevait à 6'166'396 fr. 55, soit un montant significativement plus important que les arriérés de cotisations LPP pour l’année 2008. Cet élément, à lui seul, justifiait des investigations complémentaires pour déterminer si la société B.________ SA disposait des fonds nécessaires au paiement des retenues sociales en 2008. Or, le Procureur n’a requis aucune pièce comptable de la société B.________ SA et n’a pas interrogé les prévenus sur la situation des actifs de celle-ci en 2008. Par ailleurs, c’est à tort que le magistrat a d’emblée estimé qu’une expertise serait disproportionnée, alors qu’une telle mesure d’instruction ne saurait être exclue dans une affaire de ce genre, où les montants en jeu sont importants. A ce stade, on ne peut dès lors exclure la réalisation des conditions cumulatives posées par le Tribunal fédéral s’agissant de l’infraction de l’art. 76 al. 3 LPP. Compte tenu de ce qui précède, le classement de la procédure pénale dirigée contre les administrateurs de la société B.________ SA pour infraction à la LPP apparaît prématuré. Il appartiendra au Ministère public d’instruire plus précisément la question de savoir si la société B.________ SA disposait en 2008 des actifs permettant de couvrir les cotisations sociales de ses employés, notamment en interrogeant les administrateurs sur ce point et, éventuellement, en mettant un expert en œuvre. En application de la maxime de l’instruction (art. 6 CPP) et du principe de la légalité de la procédure pénale (art. 7 CPP; cf. Moreillon/Parein Reymond, Petit Commentaire du Code de procédure pénale, Bâle 2013, n. 3 ad art. 7 CPP), le classement prononcé pour les infractions à la LAVS sera également annulé (CREP 18 novembre 2014/825).</w:t>
      </w:r>
    </w:p>
    <w:p>
      <w:r>
        <w:rPr>
          <w:b/>
        </w:rPr>
        <w:t>E. 4</w:t>
      </w:r>
    </w:p>
    <w:p>
      <w:r>
        <w:t>En définitive, le recours doit être admis, l'ordonnance de classement annulée et le dossier de la cause renvoyé au Ministère public pour qu'il procède dans le sens des considérants. Les frais de la procédure de recours, constitués du seul émolument d'arrêt, par 1'210 fr. (art. 20 al. 1 TFIP [Tarif des frais de procédure et indemnités en matière pénale du 28 septembre 2010, RSV 312.03.1]), seront mis à la charge de K.________ et de X.________, par moitié chacun et solidairement entre eux (art. 418 al. 1 et 2 CPP), dans la mesure où ils ont conclu au rejet du recours (art.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26 mars 2015 est annulée. III. Le dossier de la cause est renvoyé au Ministère public de l'arrondissement de La Côte pour qu’il procède dans le sens des considérants. IV. Les frais d'arrêt, par 1'210 fr. (mille deux cent dix francs), sont mis à la charge de X.________ et de K.________, par moitié chacun et solidairement entre eux. V. Le présent arrêt est exécutoire. Le président :               La greffière : Du Le présent arrêt, dont la rédaction a été approuvée à huis clos, est notifié, par l'envoi d'une copie complète, à : - M. Fabien Hohenauer, avocat (pour G.________ SA en liquidation), - M. Hubert Gillieron, avocat (pour K.________), - M. Cédric Thaler, avocat (pour X.________), - M. M.________, - M. D.________, - M. Z.________,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