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43 vom 16. Januar 2015</w:t>
      </w:r>
    </w:p>
    <w:p>
      <w:r>
        <w:t>VD Tribunal cantonal, 2015-01-16, FR</w:t>
      </w:r>
    </w:p>
    <w:p>
      <w:r>
        <w:rPr>
          <w:b/>
        </w:rPr>
        <w:t xml:space="preserve">Quelle: </w:t>
      </w:r>
      <w:r>
        <w:t>https://mcp.opencaselaw.ch/entscheid/vd_findinfo_D_cision___2015___43</w:t>
      </w:r>
    </w:p>
    <w:p>
      <w:r>
        <w:t>FR: VD_FINDINFO Décision / 2015 / 43 du 16 janvier 2015</w:t>
      </w:r>
    </w:p>
    <w:p>
      <w:r>
        <w:t>IT: VD_FINDINFO Décision / 2015 / 43 del 16 gennaio 2015</w:t>
      </w:r>
    </w:p>
    <w:p>
      <w:pPr>
        <w:pStyle w:val="Heading2"/>
      </w:pPr>
      <w:r>
        <w:t>Regeste</w:t>
      </w:r>
    </w:p>
    <w:p>
      <w:r>
        <w:t>DÉTENTION PROVISOIRE, PROLONGATION, RISQUE DE RÉCIDIVE, PROPORTIONNALITÉ, SOUPÇON | 221 al. 1 let. c CPP (CH), 222 CPP (CH), 393 al. 1 let. c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w:t>
      </w:r>
    </w:p>
    <w:p>
      <w:r>
        <w:rPr>
          <w:b/>
        </w:rPr>
        <w:t>E. 2.2</w:t>
      </w:r>
    </w:p>
    <w:p>
      <w:r>
        <w:t>En l’espèce, il existe des présomptions suffisantes de culpabilité à la charge de R.________. En effet, ce dernier, mis en cause par le témoignage de ses comparses et d’un tiers, a pour l’essentiel admis les faits.</w:t>
      </w:r>
    </w:p>
    <w:p>
      <w:r>
        <w:rPr>
          <w:b/>
        </w:rPr>
        <w:t>E. 3.1</w:t>
      </w:r>
    </w:p>
    <w:p>
      <w:r>
        <w:t>L’ordonnance attaquée se fonde sur un risque de réitération.</w:t>
      </w:r>
    </w:p>
    <w:p>
      <w:r>
        <w:rPr>
          <w:b/>
        </w:rPr>
        <w:t>E. 3.2</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L’ampleur de l’activité criminelle doit également être prise en compte à l'aune de l’art. 221 al. 1 let. c CPP. Le Tribunal fédéral a ainsi retenu que si un vol à la tire d'un porte-monnaie ne constituait pas en soi un délit grave, il pouvait cependant être tenu compte du nombre important d'infractions commises et de leur fréquence pour apprécier leur gravité (TF 1B_730/2012 du 19 décembre 2012 c. 3.2). Il a également considéré que l'on pouvait aussi retenir un risque de réitération lorsqu’il s’agissait, conformément au principe de célérité, d’éviter que la procédure ne soit sans cesse compliquée et prolongée par la commission de nouveaux délits (TF 1B_344/2012 du 19 juin 2012 c. 3.2). Ce risque avait été admis dans le cas d'espèce, qui concernait une procédure ouverte au mois de novembre 2010 et au cours de laquelle le recourant avait récidivé à chaque fois qu’il s’était trouvé en liberté (ibid.).</w:t>
      </w:r>
    </w:p>
    <w:p>
      <w:r>
        <w:rPr>
          <w:b/>
        </w:rPr>
        <w:t>E. 3.3</w:t>
      </w:r>
    </w:p>
    <w:p>
      <w:r>
        <w:t>En l’espèce, le recourant a été condamné à huit reprises entre 2006 et 2013, dont trois fois pour des infractions contre le patrimoine. En outre, peu avant les faits de la présente cause, l’intéressé a été incarcéré du 19 août 2013 au 27 juillet 2014, ce qui ne l’a pas empêché de récidiver moins d’un mois après sa libération. Au vu de ces différents éléments, c'est à juste titre que le Tribunal des mesures de contrainte a retenu que le risque de récidive demeurait concret. En outre, aucune mesure de substitution n’est susceptible de pallier ce risque.</w:t>
      </w:r>
    </w:p>
    <w:p>
      <w:r>
        <w:rPr>
          <w:b/>
        </w:rPr>
        <w:t>E. 4.1</w:t>
      </w:r>
    </w:p>
    <w:p>
      <w:r>
        <w:t>Le recourant invoque une violation du principe de la proportionnalité.</w:t>
      </w:r>
    </w:p>
    <w:p>
      <w:r>
        <w:rPr>
          <w:b/>
        </w:rPr>
        <w:t>E. 4.2</w:t>
      </w:r>
    </w:p>
    <w:p>
      <w:r>
        <w:t>Selon l'art. 212 al. 3 CPP, la détention provisoire et la détention pour des motifs de sûreté ne doivent pas durer plus longtemps que la peine privative de liberté prévisible.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w:t>
      </w:r>
    </w:p>
    <w:p>
      <w:r>
        <w:rPr>
          <w:b/>
        </w:rPr>
        <w:t>E. 4.3</w:t>
      </w:r>
    </w:p>
    <w:p>
      <w:r>
        <w:t>En l’espèce, R.________ est détenu depuis le 14 août 2014, soit depuis un peu plus de cinq mois. Il est notamment prévenu de vol, infraction passible d’une peine privative de cinq ans au plus, et compte tenu de ses nombreux antécédents, le recourant s'expose à une peine privative de liberté d’une durée manifestement supérieure à celle de la détention provisoire subie à ce jour. Le principe de la proportionnalité demeure donc respecté.</w:t>
      </w:r>
    </w:p>
    <w:p>
      <w:r>
        <w:rPr>
          <w:b/>
        </w:rPr>
        <w:t>E. 5</w:t>
      </w:r>
    </w:p>
    <w:p>
      <w:r>
        <w:t>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R.________ ne sera toutefois exigible que pour autant que la situation économique de ce dernier se soit améliorée (art. 135 al. 4 CPP). Par ces motifs, la Chambre des recours pénale prononce : I. Le recours est rejeté. II. L’ordonnance du 7 janvier 2015 est confirmée. III. L’indemnité allouée au défenseur d’office de R.________ est fixée à 388 fr. 80 (trois cent huitante-huit francs et huitante centimes). IV. Les frais d’arrêt, par 660 fr. (six cent soixante francs), ainsi que l’indemnité due au défenseur d’office de R.________, par 388 fr. 80 (trois cent huitante-huit francs et huitante centimes), sont mis à la charge de ce dernier. V. Le remboursement à l’Etat de l’indemnité allouée au chiffre III ci-dessus sera exigible pour autant que la situation économique de R.________ se soit améliorée. VI. Le présent arrêt est exécutoire. Le président :               La greffière : Du Le présent arrêt, dont la rédaction a été approuvée à huis clos, est notifié, par l'envoi d'une copie complète, à : - Me Fabien Mingard (pour R.________), - Ministère public central ;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