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424 vom 29. April 2015</w:t>
      </w:r>
    </w:p>
    <w:p>
      <w:r>
        <w:t>VD Tribunal cantonal, 2015-04-29, FR</w:t>
      </w:r>
    </w:p>
    <w:p>
      <w:r>
        <w:rPr>
          <w:b/>
        </w:rPr>
        <w:t xml:space="preserve">Quelle: </w:t>
      </w:r>
      <w:r>
        <w:t>https://mcp.opencaselaw.ch/entscheid/vd_findinfo_D_cision___2015___424</w:t>
      </w:r>
    </w:p>
    <w:p>
      <w:r>
        <w:t>FR: VD_FINDINFO Décision / 2015 / 424 du 29 avril 2015</w:t>
      </w:r>
    </w:p>
    <w:p>
      <w:r>
        <w:t>IT: VD_FINDINFO Décision / 2015 / 424 del 29 aprile 2015</w:t>
      </w:r>
    </w:p>
    <w:p>
      <w:pPr>
        <w:pStyle w:val="Heading2"/>
      </w:pPr>
      <w:r>
        <w:t>Regeste</w:t>
      </w:r>
    </w:p>
    <w:p>
      <w:r>
        <w:t>NON-LIEU | 310 CPP (CH), 393 al. 1 let. a CPP (CH)</w:t>
      </w:r>
    </w:p>
    <w:p>
      <w:pPr>
        <w:pStyle w:val="Heading2"/>
      </w:pPr>
      <w:r>
        <w:t>Erwägungen</w:t>
      </w:r>
    </w:p>
    <w:p>
      <w:r>
        <w:rPr>
          <w:b/>
        </w:rPr>
        <w:t>E. 1.1</w:t>
      </w:r>
    </w:p>
    <w:p>
      <w:r>
        <w:t>Les parties peuvent attaquer une ordonnance de non-entrée en matière rendue par le Ministère public (cf. art. 310 CPP [Code de procédure pénale suisse du 5 octobre 2007; RS 312.0]) dans les dix jours devant l’autorité de recours (art. 310 al. 2, 322 al. 2 CPP; cf. art. 20 al. 1 let. b CPP), qui dans le canton de Vaud est la Chambre des recours pénale du Tribunal cantonal (art. 13 LVCPP [loi d’introduction du code de procédure pénale suisse; RSV 312.01]; art. 80 LOJV [loi d’organisation judiciaire; RSV 173.01]).</w:t>
      </w:r>
    </w:p>
    <w:p>
      <w:r>
        <w:rPr>
          <w:b/>
        </w:rPr>
        <w:t>E. 1.2</w:t>
      </w:r>
    </w:p>
    <w:p>
      <w:r>
        <w:t>En l’espèce, interjeté dans le délai légal auprès de l’autorité compétente par la partie plaignante qui a qualité pour recourir (art. 382 al. 1 CPP), le recours est recevable.</w:t>
      </w:r>
    </w:p>
    <w:p>
      <w:r>
        <w:rPr>
          <w:b/>
        </w:rPr>
        <w:t>E. 2.1</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 TF 1B_67/2012 du 29 mai 2012 c. 2.2).</w:t>
      </w:r>
    </w:p>
    <w:p>
      <w:r>
        <w:rPr>
          <w:b/>
        </w:rPr>
        <w:t>E. 2.2</w:t>
      </w:r>
    </w:p>
    <w:p>
      <w:r>
        <w:t>En l'espèce, comme la Procureure l'a relevé à juste titre, la radiation d'une poursuite n'est pas de la compétence des autorités pénales: si le recourant veut obtenir la radiation de la poursuite introduite à son encontre, il doit agir en se conformant au droit des poursuites. Pour le reste, P.________ indique que W.________ n'aurait jamais travaillé pour lui. Il admet pourtant dans sa plainte avoir proposé un mandat à l'intimé (cf. P. 4/1, p. 1). Il a par ailleurs produit deux actes prévoyant une collaboration entre les parties, et signés par elles (P. 4/15). Le plaignant admet aussi avoir remis à W.________ divers documents concernant son entreprise (P. 4/1, p. 3). Dans ces circonstances, il n'existe pas d'éléments suffisants pour envisager l'existence d'une quelconque infraction pénale, telle qu'une contrainte par exemple. Le plaignant ne fournit aucun indice concret dans ce sens. L'éventuel litige entre les parties reste de nature exclusivement civile. C’est donc à juste titre que la Procureure a décidé de ne pas entrer en matière sur la plainte de P.________.</w:t>
      </w:r>
    </w:p>
    <w:p>
      <w:r>
        <w:rPr>
          <w:b/>
        </w:rPr>
        <w:t>E. 3</w:t>
      </w:r>
    </w:p>
    <w:p>
      <w:r>
        <w:t>En définitive, le recours, manifestement mal fondé, doit être rejeté sans autres échanges d’écritures (art. 390 al. 2 CPP) et l'ordonnance attaquée confirmée. Les frais de la procédure de recours, constitués du seul émolument d’arrêt, par 440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26 février 2015 est confirmée. III. Les frais de la procédure de recours, par 440 fr. (quatre cent quarante francs), sont mis à la charge de P.________. IV. Le présent arrêt est exécutoire. Le président :               La greffière : Du Le présent arrêt, dont la rédaction a été approuvée à huis clos, est notifié, par l'envoi d'une copie complète, à : - M. P.________, - M. W.________,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