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 vom 12. Dezember 2014</w:t>
      </w:r>
    </w:p>
    <w:p>
      <w:r>
        <w:t>VD Tribunal cantonal, 2014-12-12, FR</w:t>
      </w:r>
    </w:p>
    <w:p>
      <w:r>
        <w:rPr>
          <w:b/>
        </w:rPr>
        <w:t xml:space="preserve">Quelle: </w:t>
      </w:r>
      <w:r>
        <w:t>https://mcp.opencaselaw.ch/entscheid/vd_findinfo_D_cision___2015___42</w:t>
      </w:r>
    </w:p>
    <w:p>
      <w:r>
        <w:t>FR: VD_FINDINFO Décision / 2015 / 42 du 12 décembre 2014</w:t>
      </w:r>
    </w:p>
    <w:p>
      <w:r>
        <w:t>IT: VD_FINDINFO Décision / 2015 / 42 del 12 dicembre 2014</w:t>
      </w:r>
    </w:p>
    <w:p>
      <w:pPr>
        <w:pStyle w:val="Heading2"/>
      </w:pPr>
      <w:r>
        <w:t>Regeste</w:t>
      </w:r>
    </w:p>
    <w:p>
      <w:r>
        <w:t>CALOMNIE, VIOLATION D'UNE OBLIGATION D'ENTRETIEN, COMPLICITÉ, DÉCISION D'IRRECEVABILITÉ, ADMISSION PARTIELLE | 174 ch. 1 CP, 217 al. 1 CP, 25 CP</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La recourante soutient que le contenu de la lettre de V.________ à l’ORPM serait constitutif d’une atteinte à l’honneur, puisqu’il aurait cherché à la dénigrer en l’accusant de faire souffrir sa fille.</w:t>
      </w:r>
    </w:p>
    <w:p>
      <w:r>
        <w:rPr>
          <w:b/>
        </w:rPr>
        <w:t>E. 3.1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w:t>
      </w:r>
    </w:p>
    <w:p>
      <w:r>
        <w:rPr>
          <w:b/>
        </w:rPr>
        <w:t>E. 3.2</w:t>
      </w:r>
    </w:p>
    <w:p>
      <w:r>
        <w:t>En l’espèce, dans sa correspondance du 2 avril 2014, V.________ affirme que la fille de la recourante est en souffrance notamment du fait que cette dernière la tient volontairement éloignée de son père et de ses proches. Il décrit ainsi un comportement moralement réprouvé. L’atteinte à l’honneur paraît ainsi réalisée à tout le moins sur le plan objectif et une instruction pour calomnie, subsidiairement diffamation doit être ouverte. Il sera dans ce cadre en particulier utile d’obtenir le dossier constitué par le Service de protection de la jeunesse, voire par la justice de paix, non seulement pour déterminer l’étendue des affirmations de V.________, mais également pour instruire la question des preuves libératoires.</w:t>
      </w:r>
    </w:p>
    <w:p>
      <w:r>
        <w:rPr>
          <w:b/>
        </w:rPr>
        <w:t>E. 4</w:t>
      </w:r>
    </w:p>
    <w:p>
      <w:r>
        <w:t>La recourante reproche encore à la Procureure d’avoir considéré l’infraction de complicité de violation d’une obligation d’entretien comme prescrite alors que, s’agissant d’un délit continu, la prescription n’aurait même pas commencé à courir puisque V.________ persisterait à ne pas payer la pension due. La recourante allègue encore que sans l’aide de V.________, son ex-mari ne pourrait pas aussi facilement se soustraire à ses obligations alimentaires.</w:t>
      </w:r>
    </w:p>
    <w:p>
      <w:r>
        <w:rPr>
          <w:b/>
        </w:rPr>
        <w:t>E. 4.1</w:t>
      </w:r>
    </w:p>
    <w:p>
      <w:r>
        <w:t>L’art. 217 al. 1 CP dispose que celui qui n’aura pas fourni les aliments ou les subsides qu’il doit en vertu du droit de la famille, quoi qu’il en eût les moyens ou pût les avoir, sera, sur plainte, puni d’une peine privative de liberté de trois ans au plus ou d’une peine pécuniaire. Sur le principe, une complicité à l’infraction de l’art. 217 CP est possible (ATF 132 IV 49). Le complice est celui qui collabore à l’infraction principale par des actes qui ne tombent pas sous le coup de l’énoncé de fait légal ou qui, appréciés séparément, constituent des actes préparatoires. La complicité suppose que le complice apporte à l’auteur une participation causale à la réalisation de l’infraction, de telle sorte que les évènements ne se seraient pas déroulés de la même manière sans cette aide (Dupuis/Geller/Monnier/Moreillon/Piguet/Bettex/Stoll [éd.], Petit commentaire du Code pénal, Bâle 2012, n. 5 ad art. 25 CP et les références citées). La jurisprudence détermine le délai de plainte de l’art. 217 CP par analogie avec la fixation du point de départ de la prescription au sens de l’art. 98 lit. b CP en cas de pluralité d’infractions formant une unité (ATF 118 IV 325 c. 2b). Or la violation d’une obligation d’entretien constitue un délit continu. En effet, si cette infraction est consommée dès que le débiteur a omis intentionnellement de fournir les aliments ou les subsides dus en vertu du droit de la famille, la situation illicite se prolonge aussi longtemps que le débiteur ne reprend pas ses paiements où ne se trouve pas, sans faute de sa part, dans l’impossibilité de s’acquitter de son dû. Dès lors, le délai de prescription, et donc par analogie celui de la plainte pénale, ne commence  à courir que le jour où les agissements coupables ont cessé. Ainsi, lorsque l’auteur omet fautivement  et sans interruption pendant un certain temps de fournir, ne fût-ce que partiellement, les contributions dues, le délai de plainte ne commence à courir que depuis la dernière omission coupable (Dupuis et al., op. cit., n. 33 ad art. 217 CP et les références citées).</w:t>
      </w:r>
    </w:p>
    <w:p>
      <w:r>
        <w:rPr>
          <w:b/>
        </w:rPr>
        <w:t>E. 4.2</w:t>
      </w:r>
    </w:p>
    <w:p>
      <w:r>
        <w:t>En l’espèce, il est établi que E.________ n’a pas payé la moindre contribution d’entretien depuis juin 2004 (P. 5). On peut dès lors difficilement considérer que l’intervention de V.________, située par la recourante au début de l’année 2005 en ce qui concerne les véhicules, et au début d’année 2007 en ce qui concerne l’appartement, constitue une contribution causale à la réalisation de l’infraction. Aucun élément ne permet en effet de considérer que E.________ aurait, sans cette intervention, repris le paiement des contributions d’entretien dues. En réalité, si les faits reprochés à V.________ s’avéraient fondés, on devrait en conclure que ce dernier a peut-être cherché à aider E.________ à échapper à une sanction, mais pas à commettre l’infraction de violation d’une obligation d’entretien. Partant, les éléments constitutifs de l'infraction de complicité de violation d’une obligation d’entretien ne sont manifestement pas réunis. Peu importe dès lors de savoir si la prescription est acquise. L’ordonnance de non-entrée en matière doit être confirmée sur ce point.</w:t>
      </w:r>
    </w:p>
    <w:p>
      <w:r>
        <w:rPr>
          <w:b/>
        </w:rPr>
        <w:t>E. 5</w:t>
      </w:r>
    </w:p>
    <w:p>
      <w:r>
        <w:t>En définitive, le recours doit être partiellement admis et l’ordonnance de non-entrée en matière du 9 septembre 2014 annulée en ce qui concerne l’infraction de calomnie (art. 174 CP), subsidiairement diffamation (art. 173 CP), et le dossier de la cause renvoyé au Ministère public de l’arrondissement de Lausanne pour qu’il procède dans le sens des considérants. L’ordonnance sera en revanche confirmée en ce qui concerne l’infraction de complicité de violation d’une obligation d’entretien (art. 25 et 217 CP). Les frais de la procédure de recours, constitués en l'espèce de l'émolument d’arrêt, par 880 fr. (art. 20 al. 1 TFIP  [tarif des frais de procédure et indemnités en matière pénale du 28 septembre 2010 ; RSV 312.03.1]), seront mis par moitié, soit par 440 fr., à la charge de la recourante, dont les conclusions sont partiellement admises (art. 428 al. 1 CPP), le solde, par 440 fr., étant laissé à la charge de l'Etat (art. 423 al. 1 CPP). La part des frais mise à la charge de la recourante sera compensée avec le montant – identique – déjà versé par celle-ci à titre de sûretés (art. 7 TFIP). Par ces motifs, la Chambre des recours pénale prononce : I. Le recours est partiellement admis. II. L’ordonnance de non-entrée en matière du 9 septembre 2014 est annulée en tant qu’elle concerne l’infraction de calomnie, subsidiairement diffamation; elle est confirmée pour le surplus. III. Le dossier de la cause est renvoyé au Ministère public de l’arrondissement de Lausanne pour qu’il procède dans le sens des considérants. IV. Les frais de la procédure de recours, par 880 fr. (huit cent huitante francs), sont mis par moitié, soit 440 fr. (quatre cent quarante francs), à la charge de la recourante, le solde, par 440 fr. (quatre cent quarante francs), étant laissé à la charge de l’Etat. V. Les frais mis à la charge de la recourante sous chiffre IV ci-dessus sont compensés avec le montant de 440 fr. (quatre cent quarante francs) déjà versé par celle-ci à titre de sûretés. VI. Le présent arrêt est exécutoire. Le président :               La greffière : Du Le présent arrêt, dont la rédaction a été approuvée à huis clos, est notifié, par l'envoi d'une copie complète, à : - Mme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