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419 vom 29. Mai 2015</w:t>
      </w:r>
    </w:p>
    <w:p>
      <w:r>
        <w:t>VD Tribunal cantonal, 2015-05-29, FR</w:t>
      </w:r>
    </w:p>
    <w:p>
      <w:r>
        <w:rPr>
          <w:b/>
        </w:rPr>
        <w:t xml:space="preserve">Quelle: </w:t>
      </w:r>
      <w:r>
        <w:t>https://mcp.opencaselaw.ch/entscheid/vd_findinfo_D_cision___2015___419</w:t>
      </w:r>
    </w:p>
    <w:p>
      <w:r>
        <w:t>FR: VD_FINDINFO Décision / 2015 / 419 du 29 mai 2015</w:t>
      </w:r>
    </w:p>
    <w:p>
      <w:r>
        <w:t>IT: VD_FINDINFO Décision / 2015 / 419 del 29 maggio 2015</w:t>
      </w:r>
    </w:p>
    <w:p>
      <w:pPr>
        <w:pStyle w:val="Heading2"/>
      </w:pPr>
      <w:r>
        <w:t>Regeste</w:t>
      </w:r>
    </w:p>
    <w:p>
      <w:r>
        <w:t>DÉTENTION PROVISOIRE, RISQUE DE COLLUSION, PROPORTIONNALITÉ, PRINCIPE DE LA CÉLÉRITÉ | 221 al. 1 let. b CPP (CH), 393 al. 1 let. c CPP (CH),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L’existence de présomptions de culpabilité suffisantes n’est en l’occurrence pas remise en cause par le recourant qui a reconnu les faits qui lui étaient reprochés.</w:t>
      </w:r>
    </w:p>
    <w:p>
      <w:r>
        <w:rPr>
          <w:b/>
        </w:rPr>
        <w:t>E. 3</w:t>
      </w:r>
    </w:p>
    <w:p>
      <w:r>
        <w:t>Le recourant soutient qu’un risque de collusion ne pourrait plus être retenu à ce stade de l’instruction.</w:t>
      </w:r>
    </w:p>
    <w:p>
      <w:r>
        <w:rPr>
          <w:b/>
        </w:rPr>
        <w:t>E. 3.1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preuves.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Bâle 2011, nn. 14 et 15 ad art. 221 CPP; cf. ATF 137 IV 122 c. 6.2 et 6.4) – vise à garantir la constatation exacte et complète des faits (cf. CREP 1 er avril 2015/227).</w:t>
      </w:r>
    </w:p>
    <w:p>
      <w:r>
        <w:rPr>
          <w:b/>
        </w:rPr>
        <w:t>E. 3.2</w:t>
      </w:r>
    </w:p>
    <w:p>
      <w:r>
        <w:t>En l’espèce, comme l’a retenu la Cour de céans dans son arrêt du 1 er avril 2015, les explications que le recourant a fournies s’agissant de l’utilisation qu’il a faite de l’argent dérobé sont peu convaincantes et des recherches au Kosovo s’avèrent nécessaires. Les investigations en cours ont notamment révélé qu’une personne portant le même prénom et le même nom que le recourant était propriétaire de onze parcelles dans la localité de [...], qui est la ville natale de N.________ (P. 63/1). Afin de vérifier l’identité de ce propriétaire, le procureur a adressé le 30 mars 2015 une demande d’entraide judiciaire au Kosovo. Cette demande devrait en outre permettre de procéder à l’audition des membres de la famille du recourant au sujet de l’affectation des sommes qu’il a dérobées et, le cas échéant, de séquestrer celles-ci en vue de leur restitution à la partie plaignante ou de séquestrer des biens du recourant afin de garantir une créance compensatrice. Or, des communications que le recourant a eues avec des membres de sa famille laissent envisager qu’il puisse tenter de dissimuler des biens avant que la demande d’entraide puisse être concrètement mise en oeuvre. En effet, contrairement à ce qu’il a affirmé, il est prématuré d’affirmer que les appels téléphoniques qu’il a échangés avec sa famille seraient anodins. A cet égard, on relèvera qu’il a exhorté son épouse à ne rien dire au téléphone lorsqu’elle lui a dit « je ne reste pas à l’appartement, il y a une maison à 60'000 Euros » (P. 58 p. 6) et que sa mère lui a déclaré « Ramadan m’a dit que s’ils venaient (autorités suisses), je devais leur dire que tu n’avais rien, que tu avais tout vendu » (P. 67). Ces conversations justifient les vérifications en cours et permettent de douter de la bonne collaboration dont se prévaut le recourant. Comme l’a déjà relevé la Cour de céans et l’a répété le Tribunal des mesures de contrainte, aussi longtemps que les résultats de la demande d’entraide judiciaire internationale ne seront pas connus, le risque que le prévenu contacte des personnes au Kosovo afin d’influencer leurs déclarations ou de les amener à faire disparaître des preuves ou des valeurs demeurera.</w:t>
      </w:r>
    </w:p>
    <w:p>
      <w:r>
        <w:rPr>
          <w:b/>
        </w:rPr>
        <w:t>E. 4</w:t>
      </w:r>
    </w:p>
    <w:p>
      <w:r>
        <w:t>Le recourant invoque une violation des principes de la célérité et de la proportionnalité.</w:t>
      </w:r>
    </w:p>
    <w:p>
      <w:r>
        <w:rPr>
          <w:b/>
        </w:rPr>
        <w:t>E. 4.1</w:t>
      </w:r>
    </w:p>
    <w:p>
      <w:r>
        <w:t>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JT 2004 IV 159; CREP 15 janvier 2013/12 ; CREP 20 octobre 2014/773).</w:t>
      </w:r>
    </w:p>
    <w:p>
      <w:r>
        <w:rPr>
          <w:b/>
        </w:rPr>
        <w:t>E. 4.2</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 CREP 1 er avril 2015/227).</w:t>
      </w:r>
    </w:p>
    <w:p>
      <w:r>
        <w:rPr>
          <w:b/>
        </w:rPr>
        <w:t>E. 4.3</w:t>
      </w:r>
    </w:p>
    <w:p>
      <w:r>
        <w:t>En substance, le recourant reproche au procureur d’avoir adressé tardivement sa demande d’entraide judiciaire et d’attendre systématiquement que le délai de détention provisoire arrive à son terme pour procéder à de nouvelles mesures d’instruction. Il soutient en outre que la peine à laquelle il s’expose ne saurait être plus longue que la détention provisoire qu’il a déjà subie. Il craint à cet égard que le juge du fond ne soit incité à prononcer une peine plus lourde pour la faire coïncider avec la détention provisoire qu’il a subie. En l’espèce, si des démarches ont été effectuées pour accélérer le traitement de la demande d’entraide judiciaire (cf. P. 78), la lecture du procès-verbal des opérations révèle néanmoins un certain manque d’empressement de la part du procureur. On relèvera que la question d’une demande d’entraide judiciaire avait déjà été abordée avec les inspecteurs au mois de novembre 2014 (cf. PV des opérations du 25 novembre 2014) et que ces derniers ont déposé le 15 janvier 2015 un rapport complémentaire au terme duquel ils proposaient d’adresser une commission rogatoire internationale au Kosovo (P. 63/1). Alors que le prévenu est détenu, ce n’est que deux mois plus tard qu’une telle demande a été envoyée. En outre, le prévenu est incarcéré depuis le 26 juin 2014 : la durée de sa détention provisoire approche la limite de ce qui est encore admissible au regard du principe de la proportionnalité. En l’état toutefois, compte tenu du montant qu’il a dérobé, de ses antécédents, des doutes importants qui subsistent quant à sa collaboration à la procédure et de la demande d’entraide judiciaire en cours tendant au séquestre de ses valeurs en vue de les restituer à la partie plaignante ou de garantir une créance compensatrice, sa détention demeure encore justifiée. La mesure d’entraide devra être menée à bien dans le délai octroyé par le Tribunal des mesures de contrainte. Si celle-ci ne devait pas aboutir au terme de cet ultime délai, il y aurait alors lieu d’envisager la libération du recourant. On relèvera enfin qu’aucune mesure de substitution n’est susceptible d’atteindre le même but que la détention provisoire. Une assignation à résidence ou une interdiction d’entretenir des relations avec certaines personnes, comme l’a proposé le recourant, ne sauraient concrètement être suffisantes pour l’empêcher de prendre contact avec les membres de sa famille au Kosovo qui doivent être entendus dans le cadre de la demande d’entraide judiciaire. Dans cette mesure, l’interdiction qui est faite au recourant de procéder à des appels téléphoniques apparaît justifiée. Quant au risque de préjudice irréparable lié au non-renouvellement de son permis C, il n’est non seulement pas établi, mais ne constitue en outre pas un motif suffisant pour retenir que sa détention serait disproportionnée.</w:t>
      </w:r>
    </w:p>
    <w:p>
      <w:r>
        <w:rPr>
          <w:b/>
        </w:rPr>
        <w:t>E. 5</w:t>
      </w:r>
    </w:p>
    <w:p>
      <w:r>
        <w:t>En définitive, le recours, manifestement mal fondé, doit être rejeté sans autre échange d’écritures (art. 390 al. 2 CPP) et l'ordonnance du 18 mai 2015 confirmée. Selon la liste des opérations qu’elle a produite, Me Gloria Capt a chiffré le temps qu’elle a consacré à la présente procédure à 4 heures et 35 minutes et ses débours à 42 francs. Après examen du dossier et du mémoire de recours déposé, il convient d’arrêter l’indemnité qui lui est due à 720 fr. plus la TVA, par 57 fr. 60, soit 777 fr. 60 au total. Les frais de la procédure de recours, constitués en l’espèce de l'émolument d'arrêt (art. 422 al. 1 CPP), par 880 fr. (art. 20 al. 1 TFIP  [tarif des frais de procédure et indemnités en matière pénale du 28 septembre 2010 ; RSV 312.03.1]), et des frais imputables à la défense d'office du recourant (art. 422 al. 1 et 2 let. a CPP), fixés à 777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mai 2015 est confirmée. III. L'indemnité allouée au défenseur d'office de N.________ est fixée à 777 fr. 60 (sept cent septante-sept francs et soixante centimes). IV. Les frais du présent arrêt, par 880 fr. (huit cent huitante francs), ainsi que l'indemnité due au défenseur d'office de N.________ selon le chiffre III ci-dessus, sont mis à la charge de ce dernier. V. Le remboursement à l'Etat de l'indemnité allouée au chiffre III ci-dessus sera exigible pour autant que la situation de N.________ se soit améliorée. VI. Le présent arrêt est exécutoire. Le président :               La greffière : Du Le présent arrêt, dont la rédaction a été approuvée à huis clos, est notifié, par l'envoi d'une copie complète, à : - Mme Gloria Capt, avocate (pour N.________), - Ministère public central, et communiqué à : ‑ Mme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