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415 vom 4. Mai 2015</w:t>
      </w:r>
    </w:p>
    <w:p>
      <w:r>
        <w:t>VD Tribunal cantonal, 2015-05-04, FR</w:t>
      </w:r>
    </w:p>
    <w:p>
      <w:r>
        <w:rPr>
          <w:b/>
        </w:rPr>
        <w:t xml:space="preserve">Quelle: </w:t>
      </w:r>
      <w:r>
        <w:t>https://mcp.opencaselaw.ch/entscheid/vd_findinfo_D_cision___2015___415</w:t>
      </w:r>
    </w:p>
    <w:p>
      <w:r>
        <w:t>FR: VD_FINDINFO Décision / 2015 / 415 du 4 mai 2015</w:t>
      </w:r>
    </w:p>
    <w:p>
      <w:r>
        <w:t>IT: VD_FINDINFO Décision / 2015 / 415 del 4 maggio 2015</w:t>
      </w:r>
    </w:p>
    <w:p>
      <w:pPr>
        <w:pStyle w:val="Heading2"/>
      </w:pPr>
      <w:r>
        <w:t>Regeste</w:t>
      </w:r>
    </w:p>
    <w:p>
      <w:r>
        <w:t>SUSPENSION DE LA PROCÉDURE, GESTION FAUTIVE, GESTION DÉLOYALE, DIMINUTION EFFECTIVE DE L'ACTIF, ÉTAT DE COLLOCATION | 158 CP, 164 CP, 165 CP, 314 CPP (CH)</w:t>
      </w:r>
    </w:p>
    <w:p>
      <w:pPr>
        <w:pStyle w:val="Heading2"/>
      </w:pPr>
      <w:r>
        <w:t>Erwägungen</w:t>
      </w:r>
    </w:p>
    <w:p>
      <w:r>
        <w:rPr>
          <w:b/>
        </w:rPr>
        <w:t>E. 1</w:t>
      </w:r>
    </w:p>
    <w:p>
      <w:r>
        <w:t>Les parties peuvent attaquer une ordonnance de suspension rendue par le Ministère public (art. 393 al. 1 let. a et 314 al. 5 CPP, lequel renvoie aux art. 320 ss CPP ; CREP 23 avril 2015/274 c. 1.1; CREP 30 juin 2011/271 c. 1) dans les dix jours devant l’autorité de recours (art. 322 al. 2 CPP ; cf. art. 20 al. 1 let. b CPP), qui, dans le canton de Vaud, est la Chambre des recours pénale du Tribunal cantonal (art. 13 LVCPP [loi vaudoise du 19 mai 2009 d’introduction du code de procédure pénale suisse; RSV 312.01] ; art. 80 LOJV [loi vaudoise du 12 décembre 1979 d’organisation judiciaire ; RSV 173.01]). En l'espèce, interjeté dans le délai légal par la partie plaignante, qui a qualité pour recourir (art. 382 al. 1 CPP), et satisfaisant aux conditions de forme posées par la loi (cf. art. 385 al. 1 CPP), le recours est recevable.</w:t>
      </w:r>
    </w:p>
    <w:p>
      <w:r>
        <w:rPr>
          <w:b/>
        </w:rPr>
        <w:t>E. 2.1</w:t>
      </w:r>
    </w:p>
    <w:p>
      <w:r>
        <w:t>La recourante s’oppose à la suspension de la procédure pénale ouverte ensuite du dépôt de sa plainte pénale.</w:t>
      </w:r>
    </w:p>
    <w:p>
      <w:r>
        <w:rPr>
          <w:b/>
        </w:rPr>
        <w:t>E. 2.2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 Cornu, in : Kuhn/Jeanneret [éd.], Commentaire romand, Code de procédure pénale suisse, Bâle 2011, n. 13 ad art. 314 CPP).</w:t>
      </w:r>
    </w:p>
    <w:p>
      <w:r>
        <w:rPr>
          <w:b/>
        </w:rPr>
        <w:t>E. 2.3</w:t>
      </w:r>
    </w:p>
    <w:p>
      <w:r>
        <w:t>En l’espèce, trois actions en contestation de l’état de collocation sont actuellement en cours. Les deux premières que M.________ a intentées contre O.________ devant la Justice de paix d’Aigle, respectivement devant le Tribunal des baux, lesquelles ont été suspendues en raison d’une contestation de l’état de collocation divisant l’intimé d’avec la masse en faillite ; la troisième, intentée par O.________ à l’encontre de M.________ devant le Tribunal des Prud’hommes de l’Est vaudois et qui concerne une créance de salaire de 485'226 fr. 63. Si, comme le soutient le recourant, l’action en contestation de l’état de collocation n’a pour objet que de déterminer si et dans quelle mesure une créance doit participer à la liquidation de la faillite et ne sortir des effets que dans la procédure d’exécution forcée en cours (Hierholzer, Basler Kommentar, 2 e éd., 2010, n. 2 ad art. 250 LP; Pierre-Robert Gilliéron, Poursuite pour dettes, faillite et concordat, 5 e éd., 2012, Helbing Lichtenhahn, Bâle, n. 1989, p. 466), il n’en demeure pas moins que la question de l’existence matérielle de la créance colloquée doit être examinée par le juge saisi de l’action en contestation (Hierholzer, op. cit., n. 6 ad. art 250 LP). Il ressort des pièces au dossier que la créance de M.________ a été colloquée en troisième classe à hauteur de 485'226 fr. 63. Ce montant inclut 103'773 fr. 39 à titre de salaire impayé (cf. état de collocation dans la faillite de [...] en liquidation au 22 juillet 2014). Cette somme est présentée comme le solde des salaires résiduels dus pour la période allant de 2006 à l’ouverture de la faillite, déduction faite des versements effectués en 2007, 2008, 2009 et 2010 ainsi que du prélèvement de 304'076 fr. effectué par M.________ en 2011 (P. 7 annexée au recours, allégués 45 à 52 de la réponse du 9 décembre 2014). Ainsi, pour juger de l’admissibilité de la créance de M.________ à l’état de collocation, le Tribunal des prud’hommes va devoir examiner la question des salaires dus depuis 2006. Or, cette question est déterminante pour juger de l’admissibilité des prélèvements effectués par M.________. Le résultat des procédures civiles en cours peut ainsi véritablement jouer un rôle pour le résultat de la procédure pénale suspendue.</w:t>
      </w:r>
    </w:p>
    <w:p>
      <w:r>
        <w:rPr>
          <w:b/>
        </w:rPr>
        <w:t>E. 3</w:t>
      </w:r>
    </w:p>
    <w:p>
      <w:r>
        <w:t>Il résulte de ce qui précède que le recours doit être rejeté et l’ordonnance de suspension du 23 février 2015 confirmée. Les frais de la procédure de recours, constitués du seul émolument d'arrêt, par 550 fr. (art. 20 al. 1 TFIP [Tarif des frais de procédure et indemnités en matière pénale du 28 septembre 2010, RSV 312.03.1]), seront mis à la charge de O.________ qui succombe (art. 428 al. 1 CPP). S’agissant des dépens réclamés par l’intimé M.________, il appartiendra le cas échéant à ce dernier d’adresser à la fin de la procédure – pour autant que les conditions d’une indemnité selon l’art. 429 al. 1 CPP soient alors remplies – ses prétentions à l’autorité pénale compétente selon l’art. 429 al. 2 CPP (CREP 21 mars 2013/155 c. 3, et les références ; CREP 22 août 2012/568 et la référence citée). Par ces motifs, la Chambre des recours pénale prononce : I. Le recours est rejeté. II. L’ordonnance du 23 février 2015 est confirmée. III. Les frais d’arrêt, par 550 fr. (cinq cent cinquante francs), sont mis à la charge de O.________. IV. Le présent arrêt est exécutoire. Le président :               La greffière : Du Le présent arrêt, dont la rédaction a été approuvée à huis clos, est notifié, par l'envoi d'une copie complète, à : - M. Robert Fox, avocat (pour O.________), - M. Nicolas Blanc, avocat (pour 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