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414 vom 26. Mai 2015</w:t>
      </w:r>
    </w:p>
    <w:p>
      <w:r>
        <w:t>VD Tribunal cantonal, 2015-05-26, FR</w:t>
      </w:r>
    </w:p>
    <w:p>
      <w:r>
        <w:rPr>
          <w:b/>
        </w:rPr>
        <w:t xml:space="preserve">Quelle: </w:t>
      </w:r>
      <w:r>
        <w:t>https://mcp.opencaselaw.ch/entscheid/vd_findinfo_D_cision___2015___414</w:t>
      </w:r>
    </w:p>
    <w:p>
      <w:r>
        <w:t>FR: VD_FINDINFO Décision / 2015 / 414 du 26 mai 2015</w:t>
      </w:r>
    </w:p>
    <w:p>
      <w:r>
        <w:t>IT: VD_FINDINFO Décision / 2015 / 414 del 26 maggio 2015</w:t>
      </w:r>
    </w:p>
    <w:p>
      <w:pPr>
        <w:pStyle w:val="Heading2"/>
      </w:pPr>
      <w:r>
        <w:t>Regeste</w:t>
      </w:r>
    </w:p>
    <w:p>
      <w:r>
        <w:t>INFRACTIONS CONTRE LES DEVOIRS DE FONCTION, NON-LIEU, AGENT DE SÉCURITÉ | 14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w:t>
      </w:r>
    </w:p>
    <w:p>
      <w:r>
        <w:rPr>
          <w:b/>
        </w:rPr>
        <w:t>E. 3.2</w:t>
      </w:r>
    </w:p>
    <w:p>
      <w:r>
        <w:t>Aux termes de l ’art. 218 al. 1 CPP, un particulier est autorisé à arrêter provisoirement une personne lorsqu’elle est surprise en flagrant délit de crime ou de délit (let. a) ou lorsque la population a été appelée à prêter son concours à la recherche de cette personne (let. b), lorsque l’aide de la police ne peut être obtenue à temps. Par particulier, il faut entendre toute personne qui n’est pas membre des forces de police ; cette définition comprend toute personne privée, ceci même si elle exerce des tâches qui pourraient être assimilées à des tâches de police comme les membres de service de sécurité privée, les détectives privés ou encore les contrôleurs dans les bus ou les trains (Schmocker, in: Kuhn/Jeanneret (éd.), Commentaire romand, Code de procédure pénale suisse, Bâle 2011, nn. 7 ss ad art. 218 CPP). L’usage par des tiers d’entreprises spécialisées dans la surveillance de lieux pour prévenir des violences ou des actes contraires à la propriété ne confère pas un pouvoir illimité à ces dernières. Elles peuvent tout au plus prévenir, dénoncer, voire intercepter l’auteur d’un crime ou d’un délit. Pour le reste, les mesures de contrainte sont du ressort de la police (Albertini/Armbruster, in: Niggli/Heer/Wiprächtiger (éd.), Basler Kommentar, Schweizerische Straf­prozessordnung, Bâle 2011, n. 3 ad art. 218 CPP). L’art. 15 al. 2 du Concordat du 18 octobre 1996 sur les entreprises de sécurité [RSV 935.91] prévoit également un recours à la force limité à la légitime défense et à l’état de nécessité. Aux termes de l’art. 4 al. 1 du concordat précité , les missions des entreprises de sécurité sont la surveillance ou la garde de biens mobiliers ou immobiliers (let. a), la protection des personnes (let. b) et le transport de sécurité de biens ou de valeurs (let. c). Dans le cadre de ces missions, de par la nature même de leurs activités, les agents de sécurité peuvent être amenés à recourir à la force. Ils doivent toutefois agir dans les limites rappelées ci-dessus. Ainsi, l’admissibilité du recours à la force doit s’examiner, en ce qui concerne les agents de sécurité, essentiellement au regard du principe de la proportionnalité.</w:t>
      </w:r>
    </w:p>
    <w:p>
      <w:r>
        <w:rPr>
          <w:b/>
        </w:rPr>
        <w:t>E. 3.3</w:t>
      </w:r>
    </w:p>
    <w:p>
      <w:r>
        <w:t>En l'espèce, il ressort tant du recours que du rapport de police (P. 5) que le recourant, aviné, a été sorti à plusieurs reprises de l’enceinte de la fête et a tenté d’y revenir une énième fois en escaladant la grille et en passant par le vestiaire, ce qui était interdit. Par ailleurs, le recourant a pris part à une altercation aussitôt parvenu à pénétrer à l’intérieur de l’enceinte. Enfin, si le recourant conteste avoir été oppositionnel, les témoignages recueillis, repris par le rapport de police, démontrent le contraire. Dans ces conditions, les agents de sécurité ont agi dans le cadre de leurs devoirs, soit maintenir la sécurité dans le cadre d’une manifestation, notamment en vue d’identifier les fauteurs de troubles. Le recours à la contrainte physique, consistant en un plaquage et un maintien au sol, était par ailleurs proportionné aux circonstances. Ainsi, couverts par l’art. 14 CP, les agissements des agents de sécurité ne revêtent aucun caractère illicite. Quant à la morsure du chien, on peine à voir comment et quand elle est survenue. Toutefois, Q.________ ne met pas en cause le maître du chien. La décision du procureur de classer la procédure échappe donc à la critique.</w:t>
      </w:r>
    </w:p>
    <w:p>
      <w:r>
        <w:rPr>
          <w:b/>
        </w:rPr>
        <w:t>E. 4</w:t>
      </w:r>
    </w:p>
    <w:p>
      <w:r>
        <w:t>En définitive, le recours, manifestement mal fondé, doit être rejeté sans échange d’écriture (art. 390 al. 2 CPP) et l’ordonnance de classement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de classement du 15 avril 2015 est confirmée. III. Les frais d’arrêt, par 550 fr. (cinq cent cinquante francs), sont mis à la charge de Q.________. IV. Le présent arrêt est exécutoire. Le président :               La greffière : Du Le présent arrêt, dont la rédaction a été approuvée à huis clos, est notifié, par l'envoi d'une copie complète, à : - M.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