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412 vom 11. Mai 2015</w:t>
      </w:r>
    </w:p>
    <w:p>
      <w:r>
        <w:t>VD Tribunal cantonal, 2015-05-11, FR</w:t>
      </w:r>
    </w:p>
    <w:p>
      <w:r>
        <w:rPr>
          <w:b/>
        </w:rPr>
        <w:t xml:space="preserve">Quelle: </w:t>
      </w:r>
      <w:r>
        <w:t>https://mcp.opencaselaw.ch/entscheid/vd_findinfo_D_cision___2015___412</w:t>
      </w:r>
    </w:p>
    <w:p>
      <w:r>
        <w:t>FR: VD_FINDINFO Décision / 2015 / 412 du 11 mai 2015</w:t>
      </w:r>
    </w:p>
    <w:p>
      <w:r>
        <w:t>IT: VD_FINDINFO Décision / 2015 / 412 del 11 maggio 2015</w:t>
      </w:r>
    </w:p>
    <w:p>
      <w:pPr>
        <w:pStyle w:val="Heading2"/>
      </w:pPr>
      <w:r>
        <w:t>Regeste</w:t>
      </w:r>
    </w:p>
    <w:p>
      <w:r>
        <w:t>DÉFAUT{CONTUMACE}, PROCÉDURE DE CONCILIATION, CITATION À COMPARAÎTRE, DÉBAT DU TRIBUNAL | 316 al. 1 CPP (CH), 339 al. 2 CPP (CH), 393 al. 1 let. b CPP (CH), 65 CPP (CH)</w:t>
      </w:r>
    </w:p>
    <w:p>
      <w:pPr>
        <w:pStyle w:val="Heading2"/>
      </w:pPr>
      <w:r>
        <w:t>Erwägungen</w:t>
      </w:r>
    </w:p>
    <w:p>
      <w:r>
        <w:rPr>
          <w:b/>
        </w:rPr>
        <w:t>E. 1</w:t>
      </w:r>
    </w:p>
    <w:p>
      <w:r>
        <w:t>Le recourant reproche au premier juge de n’avoir pas considéré que la plainte de B.________ avait été retirée compte tenu de son défaut.</w:t>
      </w:r>
    </w:p>
    <w:p>
      <w:r>
        <w:rPr>
          <w:b/>
        </w:rPr>
        <w:t>E. 1.1</w:t>
      </w:r>
    </w:p>
    <w:p>
      <w:r>
        <w:t>Lorsque la procédure porte sur des infractions poursuivies sur plainte, la direction de la procédure du tribunal devant lequel l'accusation est engagée peut citer le plaignant et le prévenu à une audience dans le but d'aboutir à un arrangement à l'amiable (art. 316 al. 1 1 re phrase CPP, applicable par renvoi de l'art. 332 al. 2 CPP). Si le plaignant fait défaut, la plainte est considérée comme retirée (art. 316 al. 1 2 e phrase CPP, applicable par renvoi de l'art. 332 al. 2 CPP). Le tribunal rend alors un prononcé qui prend la forme d'une ordonnance de classement (art. 320 CPP par analogie; cf. art. 329 al. 4 CPP) susceptible de recours au sens des art. 393 ss CPP (art. 393 al. 1 let. b CPP; CREP 6 novembre 2014/751 et les références citées). Lorsque l'objet de la procédure concerne, outre des infractions poursuivies sur plainte, également des infractions poursuivies d'office – comme en l’espèce –, une audience de conciliation peut également être ordonnée (ATF 140 IV 118 c. 3.3.1, JT 2015 IV 31).</w:t>
      </w:r>
    </w:p>
    <w:p>
      <w:r>
        <w:rPr>
          <w:b/>
        </w:rPr>
        <w:t>E. 1.2</w:t>
      </w:r>
    </w:p>
    <w:p>
      <w:r>
        <w:t>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(ATF 138 IV 193, JT 2014 IV 23 ; CREP 24 mai 2013/312 ; Moreillon/Parein-Reymond, Petit commentaire, Code de procédure pénale, Bâle 2013, n. 13 ad art. 393 CPP). Sont ainsi exclues du recours selon les art. 393 ss CPP les décisions ou ordonnances prises en cours de procédure – par opposition aux prononcés clôturant la procédure (cf. art. 81 CPP) – rendues avant la décision finale par un tribunal de première instance ou par son président lorsque celui-ci est compétent en qualité d’autorité investie de la direction de la procédure au sens de l’art. 61 let. c CPP (cf. CREP 1 er septembre 2011/362 et les références citées). Sous réserve des cas où la loi le prévoit expressément (cf. art. 64 al. 2, 174 al.</w:t>
      </w:r>
    </w:p>
    <w:p>
      <w:r>
        <w:rPr>
          <w:b/>
        </w:rPr>
        <w:t>E. 1.3</w:t>
      </w:r>
    </w:p>
    <w:p>
      <w:r>
        <w:t>En l’occurrence, le prononcé attaqué tranche une question préjudicielle au sens de l’art. 339 al. 2 let. b CPP (cf. Hauri/Venetz, in : Niggli/Heer/Wiprächtiger [éd.], Basler Kommentar, Schweizerische Strafprozessordnung, Jugendstrafprozessordnung, 2 e éd., Bâle 2014, n. 13 ad art. 339 CPP ; De Preux, in: Kuhn/Jeanneret [éd.], Commentaire romand, Code de procédure pénale suisse, Bâle 2011, n. 29 ad art. 339 CPP ; Moreillon/Parein-Reymond, op. cit., n. 10 ad art. 339 CPP). Or, ce prononcé ne met non seulement pas fin à l’instance – puisque la procédure se poursuit d’office – mais ne crée en outre aucun préjudice juridique irréparable au recourant qui ne s’en est d’ailleurs pas prévalu. Il ne peut donc être attaqué qu’avec le jugement au fond (cf. art. 65 al. 1 et 393 al. 1 let. b CPP ; Hauri/Venetz, op. cit., n. 21 ad art. 339 CPP ; Gut/Fingerhuth, in : Donatsch/Hansjakob/Lieber [éd.], Kommentar zur Schweizerischen Strafprozessordnung, 2 e éd., 2014, n. 19 ad. art. 339 CPP). Par conséquent, en l'absence de préjudice irréparable, le recours est irrecevable.</w:t>
      </w:r>
    </w:p>
    <w:p>
      <w:r>
        <w:rPr>
          <w:b/>
        </w:rPr>
        <w:t>E. 2</w:t>
      </w:r>
    </w:p>
    <w:p>
      <w:r>
        <w:t>Cela étant, à supposer recevable, le recours devrait dans tous les cas être rejeté pour les motifs qui suivent.</w:t>
      </w:r>
    </w:p>
    <w:p>
      <w:r>
        <w:rPr>
          <w:b/>
        </w:rPr>
        <w:t>E. 2.1</w:t>
      </w:r>
    </w:p>
    <w:p>
      <w:r>
        <w:t>Les parties et leurs conseils ont été cités, par citations séparées, à comparaître successivement à une audience de conciliation et à une audience de jugement fixées le même jour à un quart d’heure d’intervalle. Seule la citation à l’adresse du plaignant à l’audience de conciliation mentionne expressément les conséquences d’un défaut. Le procès-verbal d’audience du 17 février 2015 qui a débuté à 9h20 indique que le tribunal prend séance pour tenter la conciliation et, le cas échant, juger la cause.</w:t>
      </w:r>
    </w:p>
    <w:p>
      <w:r>
        <w:rPr>
          <w:b/>
        </w:rPr>
        <w:t>E. 2.2</w:t>
      </w:r>
    </w:p>
    <w:p>
      <w:r>
        <w:t>Cette manière de procéder apparaît critiquable. Comme l’a déjà relevé la Cour de céans, au regard du principe de la bonne foi (cf. art. 3 al. 2 let. a CPP), le tribunal aurait dû indiquer explicitement dans de telles circonstances les conséquences du défaut à l’audience de conciliation non seulement dans la citation à comparaître à cette première audience, mais également dans la citation à comparaître à l’audience de jugement qui suivait, l’attention de la partie plaignante devant être attirée sur le fait que celle-ci ne serait pas tenue si elle faisait défaut à la première audience (CREP 6 novembre 2014/751). Certes, le système utilisé par le tribunal d’arrondissement présente l’avantage de permettre de classer immédiatement la procédure sans tenir l’audience de jugement déjà appointée lorsque le plaignant ne se présente pas et que la cause ne se poursuit que sur plainte. Il apparaît néanmoins peu clair pour le justiciable et susceptible d’ouvrir la porte à des complications qui n’auraient pas lieu d’être (cf. CREP 6 novembre 2014/751). Enfin et surtout, ce procédé s’écarte des buts poursuivis par l’art. 316 al. 1 CPP dans la mesure où il conduit davantage à spéculer sur le défaut du plaignant qu’à tenter la conciliation. En effet, en présence d’infractions poursuivies d’office et sur plainte, la première audience apparaît fictive, puisque la conciliation portant sur les infractions sur plainte peut encore être tentée à l’audience de jugement. En définitive, ce système de « double citation » apparaît contraire au principe de la bonne foi, ou à tout le moins si peu clair que le plaignant ne saurait le comprendre et donc réaliser les conséquences de son défaut. Il y a lieu par conséquent de considérer que le plaignant n’a pas été valablement cité à comparaître.</w:t>
      </w:r>
    </w:p>
    <w:p>
      <w:r>
        <w:rPr>
          <w:b/>
        </w:rPr>
        <w:t>E. 3</w:t>
      </w:r>
    </w:p>
    <w:p>
      <w:r>
        <w:t>Il s’ensuit que le recours interjeté contre le prononcé du 17 février 2015 doit être déclaré irrecevable, sans autres échanges d’écritures (art. 390 al. 2 CPP). L’indemnité due au défenseur d’office du recourant sera fixée à 360 fr., plus la TVA, par 28 fr. 80, ce qui porte le montant alloué à 388 fr. 80.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par 388 fr. 80, doivent être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irrecevable. II. L’indemnité due au défenseur d’office de R.________ est fixée à 388 fr. 80 (trois cent huitante-huit francs et huitante centimes). III. Les frais de la procédure de recours, par 770 fr. (sept cent septante francs), ainsi que l’indemnité due au défenseur d’office de R.________, par 388 fr. 80 (trois cent huitante-huit francs et huitante centimes), sont mis à la charge du recourant IV. Le remboursement à l'Etat de l'indemnité allouée au chiffre II ci-dessus sera exigible pour autant que la situation économique de R.________ se soit améliorée. V. Le présent arrêt est exécutoire. Le président :               La greffière : Du Le présent arrêt, dont la rédaction a été approuvée à huis clos, est notifié, par l'envoi d'une copie complète, à : - Mme Kathrin Gruber, avocate (pour R.________), - Ministère public central, et communiqué à : ‑ M. Alain Pichard, avocat (pour B.________), - M. Gérald Yersin, curateur (pour A.C.________), - M. Jean-Jacques Meystre, curateur (pour B.C.________),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